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03314" w14:textId="3CF290DC" w:rsidR="001C0A76" w:rsidRPr="00443ECB" w:rsidRDefault="003D6F17" w:rsidP="001C0A76">
      <w:pPr>
        <w:jc w:val="center"/>
        <w:rPr>
          <w:rFonts w:ascii="Anodina Light" w:hAnsi="Anodina Light"/>
          <w:b/>
          <w:bCs/>
          <w:sz w:val="32"/>
          <w:szCs w:val="32"/>
        </w:rPr>
      </w:pPr>
      <w:bookmarkStart w:id="0" w:name="_Hlk72846036"/>
      <w:r w:rsidRPr="00443ECB">
        <w:rPr>
          <w:rFonts w:ascii="Anodina Light" w:hAnsi="Anodina Light"/>
          <w:b/>
          <w:bCs/>
          <w:sz w:val="32"/>
          <w:szCs w:val="32"/>
        </w:rPr>
        <w:t>Prix Galien USA Best Pharmaceutical Agent 2021: Pemazyre</w:t>
      </w:r>
    </w:p>
    <w:p w14:paraId="2A9308BF" w14:textId="3CD23D7E" w:rsidR="00D76B23" w:rsidRPr="00443ECB" w:rsidRDefault="00D76B23">
      <w:pPr>
        <w:rPr>
          <w:rFonts w:ascii="Anodina Light" w:hAnsi="Anodina Light"/>
          <w:b/>
          <w:bCs/>
          <w:sz w:val="32"/>
          <w:szCs w:val="32"/>
        </w:rPr>
      </w:pPr>
      <w:r w:rsidRPr="00443ECB">
        <w:rPr>
          <w:rFonts w:ascii="Anodina Light" w:hAnsi="Anodina Light"/>
          <w:b/>
          <w:bCs/>
          <w:sz w:val="32"/>
          <w:szCs w:val="32"/>
        </w:rPr>
        <w:t>Entry Information</w:t>
      </w:r>
    </w:p>
    <w:p w14:paraId="24D0647A" w14:textId="6A9F693B" w:rsidR="00B57109" w:rsidRPr="00443ECB" w:rsidRDefault="003D6F17">
      <w:pPr>
        <w:rPr>
          <w:rFonts w:ascii="Anodina Light" w:hAnsi="Anodina Light"/>
          <w:b/>
          <w:bCs/>
        </w:rPr>
      </w:pPr>
      <w:r w:rsidRPr="00443ECB">
        <w:rPr>
          <w:rFonts w:ascii="Anodina Light" w:hAnsi="Anodina Light"/>
          <w:b/>
          <w:bCs/>
        </w:rPr>
        <w:t>Category</w:t>
      </w:r>
      <w:r w:rsidR="00B57109" w:rsidRPr="00443ECB">
        <w:rPr>
          <w:rFonts w:ascii="Anodina Light" w:hAnsi="Anodina Light"/>
          <w:b/>
          <w:bCs/>
        </w:rPr>
        <w:t xml:space="preserve">: </w:t>
      </w:r>
      <w:r w:rsidRPr="00443ECB">
        <w:rPr>
          <w:rFonts w:ascii="Anodina Light" w:hAnsi="Anodina Light"/>
        </w:rPr>
        <w:t>Best Pharmaceutical Agent</w:t>
      </w:r>
      <w:r w:rsidR="004272BC" w:rsidRPr="00443ECB">
        <w:rPr>
          <w:rFonts w:ascii="Anodina Light" w:hAnsi="Anodina Light"/>
        </w:rPr>
        <w:t xml:space="preserve"> </w:t>
      </w:r>
    </w:p>
    <w:p w14:paraId="52EF25D0" w14:textId="3D2AD1B9" w:rsidR="00B57109" w:rsidRPr="00443ECB" w:rsidRDefault="003D6F17">
      <w:pPr>
        <w:rPr>
          <w:rFonts w:ascii="Anodina Light" w:hAnsi="Anodina Light"/>
          <w:b/>
          <w:bCs/>
        </w:rPr>
      </w:pPr>
      <w:r w:rsidRPr="00443ECB">
        <w:rPr>
          <w:rFonts w:ascii="Anodina Light" w:hAnsi="Anodina Light"/>
          <w:b/>
          <w:bCs/>
        </w:rPr>
        <w:t xml:space="preserve">Drug/device name: </w:t>
      </w:r>
      <w:r w:rsidRPr="00443ECB">
        <w:rPr>
          <w:rFonts w:ascii="Anodina Light" w:hAnsi="Anodina Light"/>
        </w:rPr>
        <w:t>Pemazyre</w:t>
      </w:r>
    </w:p>
    <w:p w14:paraId="048F2BEB" w14:textId="4E1A3A21" w:rsidR="00B57109" w:rsidRPr="00443ECB" w:rsidRDefault="003D6F17">
      <w:pPr>
        <w:rPr>
          <w:rFonts w:ascii="Anodina Light" w:hAnsi="Anodina Light"/>
          <w:b/>
          <w:bCs/>
        </w:rPr>
      </w:pPr>
      <w:r w:rsidRPr="00443ECB">
        <w:rPr>
          <w:rFonts w:ascii="Anodina Light" w:hAnsi="Anodina Light"/>
          <w:b/>
          <w:bCs/>
        </w:rPr>
        <w:t>Compound/tech. name</w:t>
      </w:r>
      <w:r w:rsidR="00B57109" w:rsidRPr="00443ECB">
        <w:rPr>
          <w:rFonts w:ascii="Anodina Light" w:hAnsi="Anodina Light"/>
          <w:b/>
          <w:bCs/>
        </w:rPr>
        <w:t xml:space="preserve">: </w:t>
      </w:r>
      <w:r w:rsidRPr="00443ECB">
        <w:rPr>
          <w:rFonts w:ascii="Anodina Light" w:hAnsi="Anodina Light"/>
        </w:rPr>
        <w:t>pemigatinib</w:t>
      </w:r>
    </w:p>
    <w:p w14:paraId="20D07316" w14:textId="68AE11AC" w:rsidR="00B57109" w:rsidRPr="00443ECB" w:rsidRDefault="003D6F17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Trade name</w:t>
      </w:r>
      <w:r w:rsidR="00B57109" w:rsidRPr="00443ECB">
        <w:rPr>
          <w:rFonts w:ascii="Anodina Light" w:hAnsi="Anodina Light"/>
          <w:b/>
          <w:bCs/>
        </w:rPr>
        <w:t xml:space="preserve">: </w:t>
      </w:r>
      <w:r w:rsidRPr="00443ECB">
        <w:rPr>
          <w:rFonts w:ascii="Anodina Light" w:hAnsi="Anodina Light"/>
        </w:rPr>
        <w:t>Pemazyre</w:t>
      </w:r>
    </w:p>
    <w:p w14:paraId="5709C1D1" w14:textId="383EEB3A" w:rsidR="00592F50" w:rsidRPr="00443ECB" w:rsidRDefault="003D6F17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Date of approval</w:t>
      </w:r>
      <w:r w:rsidR="00592F50" w:rsidRPr="00443ECB">
        <w:rPr>
          <w:rFonts w:ascii="Anodina Light" w:hAnsi="Anodina Light"/>
          <w:b/>
          <w:bCs/>
        </w:rPr>
        <w:t>:</w:t>
      </w:r>
      <w:r w:rsidRPr="00443ECB">
        <w:rPr>
          <w:rFonts w:ascii="Anodina Light" w:hAnsi="Anodina Light"/>
          <w:b/>
          <w:bCs/>
        </w:rPr>
        <w:t xml:space="preserve"> </w:t>
      </w:r>
      <w:r w:rsidRPr="00443ECB">
        <w:rPr>
          <w:rFonts w:ascii="Anodina Light" w:hAnsi="Anodina Light"/>
        </w:rPr>
        <w:t>04/17/2020</w:t>
      </w:r>
    </w:p>
    <w:p w14:paraId="5E86911B" w14:textId="7BED1C8C" w:rsidR="003D6F17" w:rsidRPr="00443ECB" w:rsidRDefault="003D6F17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 xml:space="preserve">Therapeutic categories: </w:t>
      </w:r>
      <w:r w:rsidR="00D76B23" w:rsidRPr="00443ECB">
        <w:rPr>
          <w:rFonts w:ascii="Anodina Light" w:hAnsi="Anodina Light"/>
        </w:rPr>
        <w:t>Kinase inhibitor</w:t>
      </w:r>
    </w:p>
    <w:p w14:paraId="7CA0F5A2" w14:textId="48982347" w:rsidR="002C263F" w:rsidRDefault="003D6F17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Indications</w:t>
      </w:r>
      <w:r w:rsidR="00B57109" w:rsidRPr="00443ECB">
        <w:rPr>
          <w:rFonts w:ascii="Anodina Light" w:hAnsi="Anodina Light"/>
          <w:b/>
          <w:bCs/>
        </w:rPr>
        <w:t xml:space="preserve">: </w:t>
      </w:r>
      <w:r w:rsidRPr="00443ECB">
        <w:rPr>
          <w:rFonts w:ascii="Anodina Light" w:hAnsi="Anodina Light"/>
        </w:rPr>
        <w:t>Pemazyre is a kinase inhibitor indicated for the treatment of adults with previously treated, unresectable locally advanced or metastatic cholangiocarcinoma with a fibroblast growth factor receptor 2 (FGFR2) fusion or other rearrangement as detected by an FDA-approved test</w:t>
      </w:r>
      <w:r w:rsidR="00947623" w:rsidRPr="00443ECB">
        <w:rPr>
          <w:rFonts w:ascii="Anodina Light" w:hAnsi="Anodina Light"/>
        </w:rPr>
        <w:t>.</w:t>
      </w:r>
      <w:bookmarkStart w:id="1" w:name="_Ref72917684"/>
      <w:r w:rsidR="00443ECB" w:rsidRPr="00443ECB">
        <w:rPr>
          <w:rStyle w:val="EndnoteReference"/>
          <w:rFonts w:ascii="Anodina Light" w:hAnsi="Anodina Light"/>
        </w:rPr>
        <w:endnoteReference w:id="1"/>
      </w:r>
      <w:bookmarkEnd w:id="1"/>
    </w:p>
    <w:p w14:paraId="665507CC" w14:textId="77777777" w:rsidR="00FF35BD" w:rsidRDefault="00FF35BD" w:rsidP="00FF35BD">
      <w:pPr>
        <w:rPr>
          <w:rStyle w:val="Hyperlink"/>
          <w:rFonts w:ascii="Anodina Light" w:hAnsi="Anodina Light"/>
        </w:rPr>
      </w:pPr>
      <w:hyperlink r:id="rId8" w:history="1">
        <w:proofErr w:type="spellStart"/>
        <w:r>
          <w:rPr>
            <w:rStyle w:val="Hyperlink"/>
            <w:rFonts w:ascii="Anodina Light" w:hAnsi="Anodina Light"/>
          </w:rPr>
          <w:t>Pemazyre</w:t>
        </w:r>
        <w:proofErr w:type="spellEnd"/>
        <w:r>
          <w:rPr>
            <w:rStyle w:val="Hyperlink"/>
            <w:rFonts w:ascii="Anodina Light" w:hAnsi="Anodina Light"/>
          </w:rPr>
          <w:t xml:space="preserve"> FDA Approval</w:t>
        </w:r>
      </w:hyperlink>
    </w:p>
    <w:p w14:paraId="6648930D" w14:textId="74E6B216" w:rsidR="00B57109" w:rsidRPr="00443ECB" w:rsidRDefault="00D76B23" w:rsidP="00B57109">
      <w:pPr>
        <w:rPr>
          <w:rFonts w:ascii="Anodina Light" w:hAnsi="Anodina Light"/>
          <w:b/>
          <w:bCs/>
          <w:sz w:val="32"/>
          <w:szCs w:val="32"/>
        </w:rPr>
      </w:pPr>
      <w:r w:rsidRPr="00443ECB">
        <w:rPr>
          <w:rFonts w:ascii="Anodina Light" w:hAnsi="Anodina Light"/>
          <w:b/>
          <w:bCs/>
          <w:sz w:val="32"/>
          <w:szCs w:val="32"/>
        </w:rPr>
        <w:t>Background information and need for drug/device</w:t>
      </w:r>
    </w:p>
    <w:p w14:paraId="6F16DDC7" w14:textId="41338194" w:rsidR="003F3A5D" w:rsidRPr="00443ECB" w:rsidRDefault="00D76B23" w:rsidP="00546595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Background</w:t>
      </w:r>
      <w:r w:rsidR="00B57109" w:rsidRPr="00443ECB">
        <w:rPr>
          <w:rFonts w:ascii="Anodina Light" w:hAnsi="Anodina Light"/>
          <w:b/>
          <w:bCs/>
        </w:rPr>
        <w:t xml:space="preserve">: </w:t>
      </w:r>
      <w:bookmarkStart w:id="2" w:name="_Hlk72402360"/>
      <w:r w:rsidR="002A7652" w:rsidRPr="00443ECB">
        <w:rPr>
          <w:rFonts w:ascii="Anodina Light" w:hAnsi="Anodina Light"/>
        </w:rPr>
        <w:t>Cholangiocarcinoma (CCA) is a</w:t>
      </w:r>
      <w:r w:rsidR="001E6D93" w:rsidRPr="00443ECB">
        <w:rPr>
          <w:rFonts w:ascii="Anodina Light" w:hAnsi="Anodina Light"/>
        </w:rPr>
        <w:t>n</w:t>
      </w:r>
      <w:r w:rsidR="00AE3782" w:rsidRPr="00443ECB">
        <w:rPr>
          <w:rFonts w:ascii="Anodina Light" w:hAnsi="Anodina Light"/>
        </w:rPr>
        <w:t xml:space="preserve"> aggressive</w:t>
      </w:r>
      <w:r w:rsidR="002A7652" w:rsidRPr="00443ECB">
        <w:rPr>
          <w:rFonts w:ascii="Anodina Light" w:hAnsi="Anodina Light"/>
        </w:rPr>
        <w:t xml:space="preserve"> cancer that forms in </w:t>
      </w:r>
      <w:r w:rsidR="00335EA5" w:rsidRPr="00443ECB">
        <w:rPr>
          <w:rFonts w:ascii="Anodina Light" w:hAnsi="Anodina Light"/>
        </w:rPr>
        <w:t xml:space="preserve">the </w:t>
      </w:r>
      <w:r w:rsidR="002A7652" w:rsidRPr="00443ECB">
        <w:rPr>
          <w:rFonts w:ascii="Anodina Light" w:hAnsi="Anodina Light"/>
        </w:rPr>
        <w:t>bile duct.</w:t>
      </w:r>
      <w:r w:rsidR="00443ECB" w:rsidRPr="00443ECB">
        <w:rPr>
          <w:rFonts w:ascii="Anodina Light" w:hAnsi="Anodina Light"/>
          <w:vertAlign w:val="superscript"/>
        </w:rPr>
        <w:fldChar w:fldCharType="begin"/>
      </w:r>
      <w:r w:rsidR="00443ECB" w:rsidRPr="00443ECB">
        <w:rPr>
          <w:rFonts w:ascii="Anodina Light" w:hAnsi="Anodina Light"/>
          <w:vertAlign w:val="superscript"/>
        </w:rPr>
        <w:instrText xml:space="preserve"> NOTEREF _Ref72917342 \h  \* MERGEFORMAT </w:instrText>
      </w:r>
      <w:r w:rsidR="00443ECB" w:rsidRPr="00443ECB">
        <w:rPr>
          <w:rFonts w:ascii="Anodina Light" w:hAnsi="Anodina Light"/>
          <w:vertAlign w:val="superscript"/>
        </w:rPr>
      </w:r>
      <w:r w:rsidR="00443ECB" w:rsidRPr="00443ECB">
        <w:rPr>
          <w:rFonts w:ascii="Anodina Light" w:hAnsi="Anodina Light"/>
          <w:vertAlign w:val="superscript"/>
        </w:rPr>
        <w:fldChar w:fldCharType="separate"/>
      </w:r>
      <w:r w:rsidR="00443ECB" w:rsidRPr="00443ECB">
        <w:rPr>
          <w:rFonts w:ascii="Anodina Light" w:hAnsi="Anodina Light"/>
          <w:vertAlign w:val="superscript"/>
        </w:rPr>
        <w:t>6</w:t>
      </w:r>
      <w:r w:rsidR="00443ECB" w:rsidRPr="00443ECB">
        <w:rPr>
          <w:rFonts w:ascii="Anodina Light" w:hAnsi="Anodina Light"/>
          <w:vertAlign w:val="superscript"/>
        </w:rPr>
        <w:fldChar w:fldCharType="end"/>
      </w:r>
      <w:r w:rsidR="002A7652" w:rsidRPr="00443ECB">
        <w:rPr>
          <w:rFonts w:ascii="Anodina Light" w:hAnsi="Anodina Light"/>
        </w:rPr>
        <w:t xml:space="preserve"> </w:t>
      </w:r>
      <w:r w:rsidR="00AE3782" w:rsidRPr="00443ECB">
        <w:rPr>
          <w:rFonts w:ascii="Anodina Light" w:hAnsi="Anodina Light"/>
        </w:rPr>
        <w:t>Although rare,</w:t>
      </w:r>
      <w:r w:rsidR="00130A67" w:rsidRPr="00443ECB">
        <w:rPr>
          <w:rFonts w:ascii="Anodina Light" w:hAnsi="Anodina Light"/>
        </w:rPr>
        <w:t xml:space="preserve"> </w:t>
      </w:r>
      <w:r w:rsidR="003F3A5D" w:rsidRPr="00443ECB">
        <w:rPr>
          <w:rFonts w:ascii="Anodina Light" w:hAnsi="Anodina Light"/>
        </w:rPr>
        <w:t xml:space="preserve">over the last three decades </w:t>
      </w:r>
      <w:r w:rsidR="00327AB3" w:rsidRPr="00443ECB">
        <w:rPr>
          <w:rFonts w:ascii="Anodina Light" w:hAnsi="Anodina Light"/>
        </w:rPr>
        <w:t xml:space="preserve">rates of CCA incidence and mortality </w:t>
      </w:r>
      <w:r w:rsidR="00AE3782" w:rsidRPr="00443ECB">
        <w:rPr>
          <w:rFonts w:ascii="Anodina Light" w:hAnsi="Anodina Light"/>
        </w:rPr>
        <w:t>ha</w:t>
      </w:r>
      <w:r w:rsidR="00130A67" w:rsidRPr="00443ECB">
        <w:rPr>
          <w:rFonts w:ascii="Anodina Light" w:hAnsi="Anodina Light"/>
        </w:rPr>
        <w:t>ve</w:t>
      </w:r>
      <w:r w:rsidR="00AE3782" w:rsidRPr="00443ECB">
        <w:rPr>
          <w:rFonts w:ascii="Anodina Light" w:hAnsi="Anodina Light"/>
        </w:rPr>
        <w:t xml:space="preserve"> </w:t>
      </w:r>
      <w:r w:rsidR="00327AB3" w:rsidRPr="00443ECB">
        <w:rPr>
          <w:rFonts w:ascii="Anodina Light" w:hAnsi="Anodina Light"/>
        </w:rPr>
        <w:t xml:space="preserve">generally </w:t>
      </w:r>
      <w:r w:rsidR="00AE3782" w:rsidRPr="00443ECB">
        <w:rPr>
          <w:rFonts w:ascii="Anodina Light" w:hAnsi="Anodina Light"/>
        </w:rPr>
        <w:t xml:space="preserve">increased </w:t>
      </w:r>
      <w:r w:rsidR="00327AB3" w:rsidRPr="00443ECB">
        <w:rPr>
          <w:rFonts w:ascii="Anodina Light" w:hAnsi="Anodina Light"/>
        </w:rPr>
        <w:t>worldwide</w:t>
      </w:r>
      <w:r w:rsidR="00443ECB" w:rsidRPr="00443ECB">
        <w:rPr>
          <w:rStyle w:val="CommentReference"/>
          <w:rFonts w:ascii="Anodina Light" w:hAnsi="Anodina Light"/>
        </w:rPr>
        <w:t>.</w:t>
      </w:r>
      <w:r w:rsidR="00443ECB" w:rsidRPr="00443ECB">
        <w:rPr>
          <w:rStyle w:val="EndnoteReference"/>
          <w:rFonts w:ascii="Anodina Light" w:hAnsi="Anodina Light"/>
          <w:sz w:val="16"/>
          <w:szCs w:val="16"/>
        </w:rPr>
        <w:endnoteReference w:id="2"/>
      </w:r>
      <w:r w:rsidR="00443ECB" w:rsidRPr="00443ECB">
        <w:rPr>
          <w:rStyle w:val="CommentReference"/>
          <w:rFonts w:ascii="Anodina Light" w:hAnsi="Anodina Light"/>
          <w:vertAlign w:val="superscript"/>
        </w:rPr>
        <w:t>,</w:t>
      </w:r>
      <w:r w:rsidR="00443ECB" w:rsidRPr="00443ECB">
        <w:rPr>
          <w:rStyle w:val="EndnoteReference"/>
          <w:rFonts w:ascii="Anodina Light" w:hAnsi="Anodina Light"/>
          <w:sz w:val="16"/>
          <w:szCs w:val="16"/>
        </w:rPr>
        <w:endnoteReference w:id="3"/>
      </w:r>
      <w:r w:rsidR="00443ECB" w:rsidRPr="00443ECB">
        <w:rPr>
          <w:rStyle w:val="CommentReference"/>
          <w:rFonts w:ascii="Anodina Light" w:hAnsi="Anodina Light"/>
          <w:vertAlign w:val="superscript"/>
        </w:rPr>
        <w:t>,</w:t>
      </w:r>
      <w:r w:rsidR="00443ECB" w:rsidRPr="00443ECB">
        <w:rPr>
          <w:rStyle w:val="EndnoteReference"/>
          <w:rFonts w:ascii="Anodina Light" w:hAnsi="Anodina Light"/>
          <w:sz w:val="16"/>
          <w:szCs w:val="16"/>
        </w:rPr>
        <w:endnoteReference w:id="4"/>
      </w:r>
      <w:r w:rsidR="00443ECB" w:rsidRPr="00443ECB">
        <w:rPr>
          <w:rStyle w:val="CommentReference"/>
          <w:rFonts w:ascii="Anodina Light" w:hAnsi="Anodina Light"/>
          <w:vertAlign w:val="superscript"/>
        </w:rPr>
        <w:t>,</w:t>
      </w:r>
      <w:r w:rsidR="00443ECB" w:rsidRPr="00443ECB">
        <w:rPr>
          <w:rStyle w:val="EndnoteReference"/>
          <w:rFonts w:ascii="Anodina Light" w:hAnsi="Anodina Light"/>
          <w:sz w:val="16"/>
          <w:szCs w:val="16"/>
        </w:rPr>
        <w:endnoteReference w:id="5"/>
      </w:r>
    </w:p>
    <w:p w14:paraId="2F5F6356" w14:textId="490777E8" w:rsidR="00AE3782" w:rsidRPr="00443ECB" w:rsidRDefault="001E6D93" w:rsidP="00546595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>Symptoms</w:t>
      </w:r>
      <w:r w:rsidR="00AE3782" w:rsidRPr="00443ECB">
        <w:rPr>
          <w:rFonts w:ascii="Anodina Light" w:hAnsi="Anodina Light"/>
        </w:rPr>
        <w:t xml:space="preserve"> of CCA </w:t>
      </w:r>
      <w:r w:rsidRPr="00443ECB">
        <w:rPr>
          <w:rFonts w:ascii="Anodina Light" w:hAnsi="Anodina Light"/>
        </w:rPr>
        <w:t>include</w:t>
      </w:r>
      <w:r w:rsidR="00130A67" w:rsidRPr="00443ECB">
        <w:rPr>
          <w:rFonts w:ascii="Anodina Light" w:hAnsi="Anodina Light"/>
        </w:rPr>
        <w:t xml:space="preserve"> abdominal pain, </w:t>
      </w:r>
      <w:r w:rsidR="004B628E" w:rsidRPr="00443ECB">
        <w:rPr>
          <w:rFonts w:ascii="Anodina Light" w:hAnsi="Anodina Light"/>
        </w:rPr>
        <w:t xml:space="preserve">nausea, weight loss, </w:t>
      </w:r>
      <w:r w:rsidR="00130A67" w:rsidRPr="00443ECB">
        <w:rPr>
          <w:rFonts w:ascii="Anodina Light" w:hAnsi="Anodina Light"/>
        </w:rPr>
        <w:t>night sweats, fatigue, jaundice, general discomfort and weakness</w:t>
      </w:r>
      <w:r w:rsidRPr="00443ECB">
        <w:rPr>
          <w:rFonts w:ascii="Anodina Light" w:hAnsi="Anodina Light"/>
        </w:rPr>
        <w:t>.</w:t>
      </w:r>
      <w:bookmarkStart w:id="3" w:name="_Ref72917342"/>
      <w:r w:rsidR="00443ECB">
        <w:rPr>
          <w:rStyle w:val="EndnoteReference"/>
          <w:rFonts w:ascii="Anodina Light" w:hAnsi="Anodina Light"/>
        </w:rPr>
        <w:endnoteReference w:id="6"/>
      </w:r>
      <w:bookmarkEnd w:id="3"/>
      <w:r w:rsidR="00443ECB" w:rsidRPr="00443ECB">
        <w:rPr>
          <w:rFonts w:ascii="Anodina Light" w:hAnsi="Anodina Light"/>
          <w:vertAlign w:val="superscript"/>
        </w:rPr>
        <w:t>,</w:t>
      </w:r>
      <w:bookmarkStart w:id="4" w:name="_Ref72917345"/>
      <w:r w:rsidR="00443ECB">
        <w:rPr>
          <w:rStyle w:val="EndnoteReference"/>
          <w:rFonts w:ascii="Anodina Light" w:hAnsi="Anodina Light"/>
        </w:rPr>
        <w:endnoteReference w:id="7"/>
      </w:r>
      <w:bookmarkEnd w:id="4"/>
      <w:r w:rsidRPr="00443ECB">
        <w:rPr>
          <w:rFonts w:ascii="Anodina Light" w:hAnsi="Anodina Light"/>
        </w:rPr>
        <w:t xml:space="preserve"> </w:t>
      </w:r>
      <w:r w:rsidR="00B8583D" w:rsidRPr="00443ECB">
        <w:rPr>
          <w:rFonts w:ascii="Anodina Light" w:hAnsi="Anodina Light"/>
        </w:rPr>
        <w:t>Patients with hepatobiliary cancers including CCA also exhibit high levels of depressiveness, anxiety and reduced quality of life</w:t>
      </w:r>
      <w:r w:rsidR="00246157" w:rsidRPr="00443ECB">
        <w:rPr>
          <w:rFonts w:ascii="Anodina Light" w:hAnsi="Anodina Light"/>
        </w:rPr>
        <w:t>.</w:t>
      </w:r>
      <w:r w:rsidR="00520910" w:rsidRPr="00443ECB">
        <w:rPr>
          <w:rStyle w:val="EndnoteReference"/>
          <w:rFonts w:ascii="Anodina Light" w:hAnsi="Anodina Light"/>
        </w:rPr>
        <w:endnoteReference w:id="8"/>
      </w:r>
    </w:p>
    <w:p w14:paraId="5828C710" w14:textId="70591BB6" w:rsidR="002A7652" w:rsidRPr="00443ECB" w:rsidRDefault="00246157" w:rsidP="00546595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>R</w:t>
      </w:r>
      <w:r w:rsidR="002A7652" w:rsidRPr="00443ECB">
        <w:rPr>
          <w:rFonts w:ascii="Anodina Light" w:hAnsi="Anodina Light"/>
        </w:rPr>
        <w:t>esection is the only potentially curative option</w:t>
      </w:r>
      <w:r w:rsidR="00750841" w:rsidRPr="00443ECB">
        <w:rPr>
          <w:rFonts w:ascii="Anodina Light" w:hAnsi="Anodina Light"/>
        </w:rPr>
        <w:t xml:space="preserve"> for CCA</w:t>
      </w:r>
      <w:r w:rsidR="002A7652" w:rsidRPr="00443ECB">
        <w:rPr>
          <w:rFonts w:ascii="Anodina Light" w:hAnsi="Anodina Light"/>
        </w:rPr>
        <w:t>,</w:t>
      </w:r>
      <w:r w:rsidR="00675DE7" w:rsidRPr="00443ECB">
        <w:rPr>
          <w:rFonts w:ascii="Anodina Light" w:hAnsi="Anodina Light"/>
        </w:rPr>
        <w:t xml:space="preserve"> but</w:t>
      </w:r>
      <w:r w:rsidR="002A7652" w:rsidRPr="00443ECB">
        <w:rPr>
          <w:rFonts w:ascii="Anodina Light" w:hAnsi="Anodina Light"/>
        </w:rPr>
        <w:t xml:space="preserve"> </w:t>
      </w:r>
      <w:r w:rsidR="00675DE7" w:rsidRPr="00443ECB">
        <w:rPr>
          <w:rFonts w:ascii="Anodina Light" w:hAnsi="Anodina Light"/>
        </w:rPr>
        <w:t>few</w:t>
      </w:r>
      <w:r w:rsidR="002A7652" w:rsidRPr="00443ECB">
        <w:rPr>
          <w:rFonts w:ascii="Anodina Light" w:hAnsi="Anodina Light"/>
        </w:rPr>
        <w:t xml:space="preserve"> patients have </w:t>
      </w:r>
      <w:proofErr w:type="spellStart"/>
      <w:r w:rsidR="002A7652" w:rsidRPr="00443ECB">
        <w:rPr>
          <w:rFonts w:ascii="Anodina Light" w:hAnsi="Anodina Light"/>
        </w:rPr>
        <w:t>resectable</w:t>
      </w:r>
      <w:proofErr w:type="spellEnd"/>
      <w:r w:rsidR="002A7652" w:rsidRPr="00443ECB">
        <w:rPr>
          <w:rFonts w:ascii="Anodina Light" w:hAnsi="Anodina Light"/>
        </w:rPr>
        <w:t xml:space="preserve"> tumors at diagnosis</w:t>
      </w:r>
      <w:r w:rsidR="00B8583D" w:rsidRPr="00443ECB">
        <w:rPr>
          <w:rFonts w:ascii="Anodina Light" w:hAnsi="Anodina Light"/>
        </w:rPr>
        <w:t>.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_Ref72917342 \h </w:instrText>
      </w:r>
      <w:r w:rsidR="004C678A">
        <w:rPr>
          <w:rFonts w:ascii="Anodina Light" w:hAnsi="Anodina Light"/>
          <w:vertAlign w:val="superscript"/>
        </w:rPr>
        <w:instrText xml:space="preserve">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6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4C678A" w:rsidRPr="004C678A">
        <w:rPr>
          <w:rFonts w:ascii="Anodina Light" w:hAnsi="Anodina Light"/>
          <w:vertAlign w:val="superscript"/>
        </w:rPr>
        <w:t>,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_Ref72917345 \h </w:instrText>
      </w:r>
      <w:r w:rsidR="004C678A">
        <w:rPr>
          <w:rFonts w:ascii="Anodina Light" w:hAnsi="Anodina Light"/>
          <w:vertAlign w:val="superscript"/>
        </w:rPr>
        <w:instrText xml:space="preserve">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7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B8583D" w:rsidRPr="00443ECB">
        <w:rPr>
          <w:rFonts w:ascii="Anodina Light" w:hAnsi="Anodina Light"/>
        </w:rPr>
        <w:t xml:space="preserve"> </w:t>
      </w:r>
      <w:r w:rsidR="004B628E" w:rsidRPr="00443ECB">
        <w:rPr>
          <w:rFonts w:ascii="Anodina Light" w:hAnsi="Anodina Light"/>
        </w:rPr>
        <w:t xml:space="preserve">Because early-stage disease is </w:t>
      </w:r>
      <w:r w:rsidR="003C4E57" w:rsidRPr="00443ECB">
        <w:rPr>
          <w:rFonts w:ascii="Anodina Light" w:hAnsi="Anodina Light"/>
        </w:rPr>
        <w:t xml:space="preserve">often </w:t>
      </w:r>
      <w:r w:rsidR="004B628E" w:rsidRPr="00443ECB">
        <w:rPr>
          <w:rFonts w:ascii="Anodina Light" w:hAnsi="Anodina Light"/>
        </w:rPr>
        <w:t>asymptomatic</w:t>
      </w:r>
      <w:r w:rsidR="002437EB" w:rsidRPr="00443ECB">
        <w:rPr>
          <w:rFonts w:ascii="Anodina Light" w:hAnsi="Anodina Light"/>
        </w:rPr>
        <w:t>, d</w:t>
      </w:r>
      <w:r w:rsidR="002A7652" w:rsidRPr="00443ECB">
        <w:rPr>
          <w:rFonts w:ascii="Anodina Light" w:hAnsi="Anodina Light"/>
        </w:rPr>
        <w:t xml:space="preserve">iagnosis </w:t>
      </w:r>
      <w:r w:rsidR="003C4E57" w:rsidRPr="00443ECB">
        <w:rPr>
          <w:rFonts w:ascii="Anodina Light" w:hAnsi="Anodina Light"/>
        </w:rPr>
        <w:t xml:space="preserve">typically </w:t>
      </w:r>
      <w:r w:rsidR="00335EA5" w:rsidRPr="00443ECB">
        <w:rPr>
          <w:rFonts w:ascii="Anodina Light" w:hAnsi="Anodina Light"/>
        </w:rPr>
        <w:t xml:space="preserve">occurs </w:t>
      </w:r>
      <w:r w:rsidR="002A7652" w:rsidRPr="00443ECB">
        <w:rPr>
          <w:rFonts w:ascii="Anodina Light" w:hAnsi="Anodina Light"/>
        </w:rPr>
        <w:t xml:space="preserve">once </w:t>
      </w:r>
      <w:r w:rsidR="004B628E" w:rsidRPr="00443ECB">
        <w:rPr>
          <w:rFonts w:ascii="Anodina Light" w:hAnsi="Anodina Light"/>
        </w:rPr>
        <w:t xml:space="preserve">the </w:t>
      </w:r>
      <w:r w:rsidR="002A7652" w:rsidRPr="00443ECB">
        <w:rPr>
          <w:rFonts w:ascii="Anodina Light" w:hAnsi="Anodina Light"/>
        </w:rPr>
        <w:t xml:space="preserve">disease has </w:t>
      </w:r>
      <w:r w:rsidR="004B628E" w:rsidRPr="00443ECB">
        <w:rPr>
          <w:rFonts w:ascii="Anodina Light" w:hAnsi="Anodina Light"/>
        </w:rPr>
        <w:t xml:space="preserve">already </w:t>
      </w:r>
      <w:r w:rsidR="002A7652" w:rsidRPr="00443ECB">
        <w:rPr>
          <w:rFonts w:ascii="Anodina Light" w:hAnsi="Anodina Light"/>
        </w:rPr>
        <w:t>progressed to a</w:t>
      </w:r>
      <w:r w:rsidR="004B628E" w:rsidRPr="00443ECB">
        <w:rPr>
          <w:rFonts w:ascii="Anodina Light" w:hAnsi="Anodina Light"/>
        </w:rPr>
        <w:t>n advanced</w:t>
      </w:r>
      <w:r w:rsidR="002A7652" w:rsidRPr="00443ECB">
        <w:rPr>
          <w:rFonts w:ascii="Anodina Light" w:hAnsi="Anodina Light"/>
        </w:rPr>
        <w:t xml:space="preserve"> stage</w:t>
      </w:r>
      <w:r w:rsidR="002437EB" w:rsidRPr="00443ECB">
        <w:rPr>
          <w:rFonts w:ascii="Anodina Light" w:hAnsi="Anodina Light"/>
        </w:rPr>
        <w:t>.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_Ref72917342 \h 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6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443ECB">
        <w:rPr>
          <w:rFonts w:ascii="Anodina Light" w:hAnsi="Anodina Light"/>
        </w:rPr>
        <w:t xml:space="preserve"> </w:t>
      </w:r>
      <w:r w:rsidR="00D67CA7" w:rsidRPr="00443ECB">
        <w:rPr>
          <w:rFonts w:ascii="Anodina Light" w:hAnsi="Anodina Light"/>
        </w:rPr>
        <w:t xml:space="preserve">For </w:t>
      </w:r>
      <w:r w:rsidR="003C4E57" w:rsidRPr="00443ECB">
        <w:rPr>
          <w:rFonts w:ascii="Anodina Light" w:hAnsi="Anodina Light"/>
        </w:rPr>
        <w:t>patients with unresectable</w:t>
      </w:r>
      <w:r w:rsidR="00D67CA7" w:rsidRPr="00443ECB">
        <w:rPr>
          <w:rFonts w:ascii="Anodina Light" w:hAnsi="Anodina Light"/>
        </w:rPr>
        <w:t xml:space="preserve"> tumors, prognosis </w:t>
      </w:r>
      <w:r w:rsidR="006C0513" w:rsidRPr="00443ECB">
        <w:rPr>
          <w:rFonts w:ascii="Anodina Light" w:hAnsi="Anodina Light"/>
        </w:rPr>
        <w:t>is poor</w:t>
      </w:r>
      <w:r w:rsidR="008A40ED" w:rsidRPr="00443ECB">
        <w:rPr>
          <w:rFonts w:ascii="Anodina Light" w:hAnsi="Anodina Light"/>
        </w:rPr>
        <w:t>: f</w:t>
      </w:r>
      <w:r w:rsidR="006C0513" w:rsidRPr="00443ECB">
        <w:rPr>
          <w:rFonts w:ascii="Anodina Light" w:hAnsi="Anodina Light"/>
        </w:rPr>
        <w:t>or molecularly unselected patients with bile duct cancers, median overall survival following second-line chemotherapy is 6.2 months, and is associated with high rates of adverse events</w:t>
      </w:r>
      <w:r w:rsidR="00D67CA7" w:rsidRPr="00443ECB">
        <w:rPr>
          <w:rFonts w:ascii="Anodina Light" w:hAnsi="Anodina Light"/>
        </w:rPr>
        <w:t>.</w:t>
      </w:r>
      <w:r w:rsidR="00520910" w:rsidRPr="00443ECB">
        <w:rPr>
          <w:rStyle w:val="EndnoteReference"/>
          <w:rFonts w:ascii="Anodina Light" w:hAnsi="Anodina Light"/>
        </w:rPr>
        <w:endnoteReference w:id="9"/>
      </w:r>
      <w:r w:rsidR="00520910" w:rsidRPr="00443ECB">
        <w:rPr>
          <w:rFonts w:ascii="Anodina Light" w:hAnsi="Anodina Light"/>
          <w:vertAlign w:val="superscript"/>
        </w:rPr>
        <w:t>,</w:t>
      </w:r>
      <w:bookmarkStart w:id="5" w:name="_Ref72852497"/>
      <w:r w:rsidR="00520910" w:rsidRPr="00443ECB">
        <w:rPr>
          <w:rStyle w:val="EndnoteReference"/>
          <w:rFonts w:ascii="Anodina Light" w:hAnsi="Anodina Light"/>
        </w:rPr>
        <w:endnoteReference w:id="10"/>
      </w:r>
      <w:bookmarkEnd w:id="5"/>
      <w:r w:rsidR="00FC2302" w:rsidRPr="00443ECB">
        <w:rPr>
          <w:rFonts w:ascii="Anodina Light" w:hAnsi="Anodina Light"/>
        </w:rPr>
        <w:t xml:space="preserve"> </w:t>
      </w:r>
    </w:p>
    <w:p w14:paraId="55E31B25" w14:textId="6EFE4E46" w:rsidR="00947623" w:rsidRPr="00443ECB" w:rsidRDefault="003C4E57" w:rsidP="00043918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lastRenderedPageBreak/>
        <w:t xml:space="preserve">Approximately </w:t>
      </w:r>
      <w:r w:rsidR="00043918" w:rsidRPr="00443ECB">
        <w:rPr>
          <w:rFonts w:ascii="Anodina Light" w:hAnsi="Anodina Light"/>
        </w:rPr>
        <w:t>10-15% of patients with intrahepatic CCA</w:t>
      </w:r>
      <w:r w:rsidRPr="00443ECB">
        <w:rPr>
          <w:rFonts w:ascii="Anodina Light" w:hAnsi="Anodina Light"/>
        </w:rPr>
        <w:t xml:space="preserve"> have tumors in which the fibroblast growth factor 2 (</w:t>
      </w:r>
      <w:r w:rsidRPr="00443ECB">
        <w:rPr>
          <w:rFonts w:ascii="Anodina Light" w:hAnsi="Anodina Light"/>
          <w:i/>
        </w:rPr>
        <w:t>FGFR2</w:t>
      </w:r>
      <w:r w:rsidRPr="00443ECB">
        <w:rPr>
          <w:rFonts w:ascii="Anodina Light" w:hAnsi="Anodina Light"/>
        </w:rPr>
        <w:t>) gene has undergone fusion or rearrangement with a gene encoding another protein.</w:t>
      </w:r>
      <w:r w:rsidR="00443ECB" w:rsidRPr="004C678A">
        <w:rPr>
          <w:rStyle w:val="EndnoteReference"/>
          <w:rFonts w:ascii="Anodina Light" w:hAnsi="Anodina Light"/>
        </w:rPr>
        <w:endnoteReference w:id="11"/>
      </w:r>
      <w:r w:rsidR="00443ECB" w:rsidRPr="004C678A">
        <w:rPr>
          <w:rFonts w:ascii="Anodina Light" w:hAnsi="Anodina Light"/>
          <w:vertAlign w:val="superscript"/>
        </w:rPr>
        <w:t>,</w:t>
      </w:r>
      <w:r w:rsidR="00443ECB" w:rsidRPr="004C678A">
        <w:rPr>
          <w:rStyle w:val="EndnoteReference"/>
          <w:rFonts w:ascii="Anodina Light" w:hAnsi="Anodina Light"/>
        </w:rPr>
        <w:endnoteReference w:id="12"/>
      </w:r>
      <w:r w:rsidR="00443ECB" w:rsidRPr="004C678A">
        <w:rPr>
          <w:rFonts w:ascii="Anodina Light" w:hAnsi="Anodina Light"/>
          <w:vertAlign w:val="superscript"/>
        </w:rPr>
        <w:t>,</w:t>
      </w:r>
      <w:r w:rsidR="00443ECB" w:rsidRPr="004C678A">
        <w:rPr>
          <w:rStyle w:val="EndnoteReference"/>
          <w:rFonts w:ascii="Anodina Light" w:hAnsi="Anodina Light"/>
        </w:rPr>
        <w:endnoteReference w:id="13"/>
      </w:r>
      <w:r w:rsidR="00443ECB" w:rsidRPr="004C678A">
        <w:rPr>
          <w:rFonts w:ascii="Anodina Light" w:hAnsi="Anodina Light"/>
          <w:vertAlign w:val="superscript"/>
        </w:rPr>
        <w:t>,</w:t>
      </w:r>
      <w:r w:rsidR="00443ECB" w:rsidRPr="004C678A">
        <w:rPr>
          <w:rStyle w:val="EndnoteReference"/>
          <w:rFonts w:ascii="Anodina Light" w:hAnsi="Anodina Light"/>
        </w:rPr>
        <w:endnoteReference w:id="14"/>
      </w:r>
      <w:r w:rsidR="00443ECB" w:rsidRPr="004C678A">
        <w:rPr>
          <w:rFonts w:ascii="Anodina Light" w:hAnsi="Anodina Light"/>
          <w:vertAlign w:val="superscript"/>
        </w:rPr>
        <w:t>,</w:t>
      </w:r>
      <w:r w:rsidR="00443ECB" w:rsidRPr="004C678A">
        <w:rPr>
          <w:rStyle w:val="EndnoteReference"/>
          <w:rFonts w:ascii="Anodina Light" w:hAnsi="Anodina Light"/>
        </w:rPr>
        <w:endnoteReference w:id="15"/>
      </w:r>
      <w:r w:rsidR="00443ECB" w:rsidRPr="004C678A">
        <w:rPr>
          <w:rFonts w:ascii="Anodina Light" w:hAnsi="Anodina Light"/>
          <w:vertAlign w:val="superscript"/>
        </w:rPr>
        <w:t>,</w:t>
      </w:r>
      <w:r w:rsidR="00443ECB" w:rsidRPr="004C678A">
        <w:rPr>
          <w:rStyle w:val="EndnoteReference"/>
          <w:rFonts w:ascii="Anodina Light" w:hAnsi="Anodina Light"/>
        </w:rPr>
        <w:endnoteReference w:id="16"/>
      </w:r>
      <w:r w:rsidRPr="004C678A">
        <w:rPr>
          <w:rFonts w:ascii="Anodina Light" w:hAnsi="Anodina Light"/>
          <w:vertAlign w:val="superscript"/>
        </w:rPr>
        <w:t xml:space="preserve"> </w:t>
      </w:r>
      <w:r w:rsidRPr="00443ECB">
        <w:rPr>
          <w:rFonts w:ascii="Anodina Light" w:hAnsi="Anodina Light"/>
        </w:rPr>
        <w:t xml:space="preserve">Such fusions </w:t>
      </w:r>
      <w:r w:rsidR="00043918" w:rsidRPr="00443ECB">
        <w:rPr>
          <w:rFonts w:ascii="Anodina Light" w:hAnsi="Anodina Light"/>
        </w:rPr>
        <w:t>have been shown to be oncogenic drivers in some patients</w:t>
      </w:r>
      <w:r w:rsidR="00947623" w:rsidRPr="00443ECB">
        <w:rPr>
          <w:rFonts w:ascii="Anodina Light" w:hAnsi="Anodina Light"/>
        </w:rPr>
        <w:t>.</w:t>
      </w:r>
      <w:r w:rsidR="00443ECB">
        <w:rPr>
          <w:rStyle w:val="EndnoteReference"/>
          <w:rFonts w:ascii="Anodina Light" w:hAnsi="Anodina Light"/>
        </w:rPr>
        <w:endnoteReference w:id="17"/>
      </w:r>
    </w:p>
    <w:p w14:paraId="322203B3" w14:textId="123761F3" w:rsidR="00D67CA7" w:rsidRPr="00443ECB" w:rsidRDefault="00D67CA7" w:rsidP="00947623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Pemigatinib is a small molecule inhibitor of FGFR 1, 2 and 3 </w:t>
      </w:r>
      <w:r w:rsidR="00A90129" w:rsidRPr="00443ECB">
        <w:rPr>
          <w:rFonts w:ascii="Anodina Light" w:hAnsi="Anodina Light"/>
        </w:rPr>
        <w:t>kinases that blocks</w:t>
      </w:r>
      <w:r w:rsidRPr="00443ECB">
        <w:rPr>
          <w:rFonts w:ascii="Anodina Light" w:hAnsi="Anodina Light"/>
        </w:rPr>
        <w:t xml:space="preserve"> FGFR phosphorylation and signaling and decrease</w:t>
      </w:r>
      <w:r w:rsidR="00A90129" w:rsidRPr="00443ECB">
        <w:rPr>
          <w:rFonts w:ascii="Anodina Light" w:hAnsi="Anodina Light"/>
        </w:rPr>
        <w:t>s</w:t>
      </w:r>
      <w:r w:rsidRPr="00443ECB">
        <w:rPr>
          <w:rFonts w:ascii="Anodina Light" w:hAnsi="Anodina Light"/>
        </w:rPr>
        <w:t xml:space="preserve"> the viability of cells expressing </w:t>
      </w:r>
      <w:r w:rsidRPr="00443ECB">
        <w:rPr>
          <w:rFonts w:ascii="Anodina Light" w:hAnsi="Anodina Light"/>
          <w:i/>
        </w:rPr>
        <w:t>FGFR</w:t>
      </w:r>
      <w:r w:rsidRPr="00443ECB">
        <w:rPr>
          <w:rFonts w:ascii="Anodina Light" w:hAnsi="Anodina Light"/>
        </w:rPr>
        <w:t xml:space="preserve"> gene alterations</w:t>
      </w:r>
      <w:r w:rsidR="00A90129" w:rsidRPr="00443ECB">
        <w:rPr>
          <w:rFonts w:ascii="Anodina Light" w:hAnsi="Anodina Light"/>
        </w:rPr>
        <w:t xml:space="preserve"> in preclinical models</w:t>
      </w:r>
      <w:r w:rsidRPr="00443ECB">
        <w:rPr>
          <w:rFonts w:ascii="Anodina Light" w:hAnsi="Anodina Light"/>
        </w:rPr>
        <w:t>.</w:t>
      </w:r>
      <w:bookmarkStart w:id="6" w:name="_Ref72848794"/>
      <w:r w:rsidR="00234C95" w:rsidRPr="00443ECB">
        <w:rPr>
          <w:rStyle w:val="EndnoteReference"/>
          <w:rFonts w:ascii="Anodina Light" w:hAnsi="Anodina Light"/>
        </w:rPr>
        <w:endnoteReference w:id="18"/>
      </w:r>
      <w:bookmarkEnd w:id="6"/>
    </w:p>
    <w:p w14:paraId="7A3AA99A" w14:textId="422014CB" w:rsidR="00426414" w:rsidRPr="00443ECB" w:rsidRDefault="00FC2302" w:rsidP="006967C2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Prior </w:t>
      </w:r>
      <w:r w:rsidR="00675DE7" w:rsidRPr="00443ECB">
        <w:rPr>
          <w:rFonts w:ascii="Anodina Light" w:hAnsi="Anodina Light"/>
        </w:rPr>
        <w:t xml:space="preserve">to </w:t>
      </w:r>
      <w:r w:rsidR="002437EB" w:rsidRPr="00443ECB">
        <w:rPr>
          <w:rFonts w:ascii="Anodina Light" w:hAnsi="Anodina Light"/>
        </w:rPr>
        <w:t xml:space="preserve">the approval of </w:t>
      </w:r>
      <w:r w:rsidR="00675DE7" w:rsidRPr="00443ECB">
        <w:rPr>
          <w:rFonts w:ascii="Anodina Light" w:hAnsi="Anodina Light"/>
        </w:rPr>
        <w:t>pemigatinib</w:t>
      </w:r>
      <w:r w:rsidR="00F03035" w:rsidRPr="00443ECB">
        <w:rPr>
          <w:rFonts w:ascii="Anodina Light" w:hAnsi="Anodina Light"/>
        </w:rPr>
        <w:t xml:space="preserve"> (Pemazyre</w:t>
      </w:r>
      <w:r w:rsidR="00F03035" w:rsidRPr="00443ECB">
        <w:rPr>
          <w:rFonts w:ascii="Anodina Light" w:hAnsi="Anodina Light"/>
          <w:vertAlign w:val="superscript"/>
        </w:rPr>
        <w:t>®</w:t>
      </w:r>
      <w:r w:rsidR="00F03035" w:rsidRPr="00443ECB">
        <w:rPr>
          <w:rFonts w:ascii="Anodina Light" w:hAnsi="Anodina Light"/>
        </w:rPr>
        <w:t>)</w:t>
      </w:r>
      <w:r w:rsidRPr="00443ECB">
        <w:rPr>
          <w:rFonts w:ascii="Anodina Light" w:hAnsi="Anodina Light"/>
        </w:rPr>
        <w:t>, patients with CCA had no targeted treatment options</w:t>
      </w:r>
      <w:r w:rsidR="00675DE7" w:rsidRPr="00443ECB">
        <w:rPr>
          <w:rFonts w:ascii="Anodina Light" w:hAnsi="Anodina Light"/>
        </w:rPr>
        <w:t>.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_Ref72917342 \h 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6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675DE7" w:rsidRPr="00443ECB">
        <w:rPr>
          <w:rFonts w:ascii="Anodina Light" w:hAnsi="Anodina Light"/>
        </w:rPr>
        <w:t xml:space="preserve"> </w:t>
      </w:r>
      <w:r w:rsidR="00947623" w:rsidRPr="00443ECB">
        <w:rPr>
          <w:rFonts w:ascii="Anodina Light" w:hAnsi="Anodina Light"/>
        </w:rPr>
        <w:t>Now, the National Comprehensive Cancer Network (NCCN) Clinical Practice Guidelines in Oncology</w:t>
      </w:r>
      <w:r w:rsidR="006967C2" w:rsidRPr="00443ECB">
        <w:rPr>
          <w:rFonts w:ascii="Anodina Light" w:hAnsi="Anodina Light"/>
        </w:rPr>
        <w:t xml:space="preserve"> recommend</w:t>
      </w:r>
      <w:r w:rsidR="00542931" w:rsidRPr="00443ECB">
        <w:rPr>
          <w:rFonts w:ascii="Anodina Light" w:hAnsi="Anodina Light"/>
        </w:rPr>
        <w:t>s</w:t>
      </w:r>
      <w:r w:rsidR="006967C2" w:rsidRPr="00443ECB">
        <w:rPr>
          <w:rFonts w:ascii="Anodina Light" w:hAnsi="Anodina Light"/>
        </w:rPr>
        <w:t xml:space="preserve"> Pemazyre as a subsequent-line treatment option for unresectable or metastatic CCA with </w:t>
      </w:r>
      <w:r w:rsidR="006967C2" w:rsidRPr="00443ECB">
        <w:rPr>
          <w:rFonts w:ascii="Anodina Light" w:hAnsi="Anodina Light"/>
          <w:i/>
        </w:rPr>
        <w:t>FGFR2</w:t>
      </w:r>
      <w:r w:rsidR="006967C2" w:rsidRPr="00443ECB">
        <w:rPr>
          <w:rFonts w:ascii="Anodina Light" w:hAnsi="Anodina Light"/>
        </w:rPr>
        <w:t xml:space="preserve"> fusions or rearrangements following disease progression</w:t>
      </w:r>
      <w:r w:rsidR="00947623" w:rsidRPr="00443ECB">
        <w:rPr>
          <w:rFonts w:ascii="Anodina Light" w:hAnsi="Anodina Light"/>
        </w:rPr>
        <w:t>.</w:t>
      </w:r>
      <w:bookmarkStart w:id="7" w:name="_Ref72919447"/>
      <w:r w:rsidR="00426414" w:rsidRPr="00443ECB">
        <w:rPr>
          <w:rStyle w:val="EndnoteReference"/>
          <w:rFonts w:ascii="Anodina Light" w:hAnsi="Anodina Light"/>
        </w:rPr>
        <w:endnoteReference w:id="19"/>
      </w:r>
      <w:bookmarkEnd w:id="2"/>
      <w:bookmarkEnd w:id="7"/>
    </w:p>
    <w:p w14:paraId="608AE767" w14:textId="77777777" w:rsidR="00B40B60" w:rsidRPr="00443ECB" w:rsidRDefault="00B40B60" w:rsidP="00B57109">
      <w:pPr>
        <w:rPr>
          <w:rFonts w:ascii="Anodina Light" w:hAnsi="Anodina Light"/>
          <w:b/>
          <w:bCs/>
          <w:sz w:val="32"/>
          <w:szCs w:val="32"/>
        </w:rPr>
      </w:pPr>
      <w:r w:rsidRPr="00443ECB">
        <w:rPr>
          <w:rFonts w:ascii="Anodina Light" w:hAnsi="Anodina Light"/>
          <w:b/>
          <w:bCs/>
          <w:sz w:val="32"/>
          <w:szCs w:val="32"/>
        </w:rPr>
        <w:t>History of the development of the drug/device</w:t>
      </w:r>
    </w:p>
    <w:p w14:paraId="43DB12DB" w14:textId="55E8D3FA" w:rsidR="00B57109" w:rsidRPr="00443ECB" w:rsidRDefault="00B40B60" w:rsidP="00B57109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Development</w:t>
      </w:r>
      <w:r w:rsidR="00B57109" w:rsidRPr="00443ECB">
        <w:rPr>
          <w:rFonts w:ascii="Anodina Light" w:hAnsi="Anodina Light"/>
          <w:b/>
          <w:bCs/>
        </w:rPr>
        <w:t>:</w:t>
      </w:r>
      <w:r w:rsidR="009B7339" w:rsidRPr="00443ECB">
        <w:rPr>
          <w:rFonts w:ascii="Anodina Light" w:hAnsi="Anodina Light"/>
        </w:rPr>
        <w:t xml:space="preserve"> </w:t>
      </w:r>
      <w:r w:rsidR="002437EB" w:rsidRPr="00443ECB">
        <w:rPr>
          <w:rFonts w:ascii="Anodina Light" w:hAnsi="Anodina Light"/>
        </w:rPr>
        <w:t>T</w:t>
      </w:r>
      <w:r w:rsidR="00487AAF" w:rsidRPr="00443ECB">
        <w:rPr>
          <w:rFonts w:ascii="Anodina Light" w:hAnsi="Anodina Light"/>
        </w:rPr>
        <w:t xml:space="preserve">he active ingredient of </w:t>
      </w:r>
      <w:r w:rsidR="000C71C0" w:rsidRPr="00443ECB">
        <w:rPr>
          <w:rFonts w:ascii="Anodina Light" w:hAnsi="Anodina Light"/>
        </w:rPr>
        <w:t>Pemazyre</w:t>
      </w:r>
      <w:r w:rsidR="00487AAF" w:rsidRPr="00443ECB">
        <w:rPr>
          <w:rFonts w:ascii="Anodina Light" w:hAnsi="Anodina Light"/>
        </w:rPr>
        <w:t xml:space="preserve"> was discovered through rational design and iterative lead optimization</w:t>
      </w:r>
      <w:r w:rsidR="00CC081C" w:rsidRPr="00443ECB">
        <w:rPr>
          <w:rFonts w:ascii="Anodina Light" w:hAnsi="Anodina Light"/>
        </w:rPr>
        <w:t xml:space="preserve"> – </w:t>
      </w:r>
      <w:r w:rsidR="005B51A3" w:rsidRPr="00443ECB">
        <w:rPr>
          <w:rFonts w:ascii="Anodina Light" w:hAnsi="Anodina Light"/>
        </w:rPr>
        <w:t>t</w:t>
      </w:r>
      <w:r w:rsidR="00487AAF" w:rsidRPr="00443ECB">
        <w:rPr>
          <w:rFonts w:ascii="Anodina Light" w:hAnsi="Anodina Light"/>
        </w:rPr>
        <w:t>housand</w:t>
      </w:r>
      <w:r w:rsidR="005B51A3" w:rsidRPr="00443ECB">
        <w:rPr>
          <w:rFonts w:ascii="Anodina Light" w:hAnsi="Anodina Light"/>
        </w:rPr>
        <w:t>s of</w:t>
      </w:r>
      <w:r w:rsidR="00487AAF" w:rsidRPr="00443ECB">
        <w:rPr>
          <w:rFonts w:ascii="Anodina Light" w:hAnsi="Anodina Light"/>
        </w:rPr>
        <w:t xml:space="preserve"> molecules were synthesized </w:t>
      </w:r>
      <w:r w:rsidR="00CE4CD4" w:rsidRPr="00443ECB">
        <w:rPr>
          <w:rFonts w:ascii="Anodina Light" w:hAnsi="Anodina Light"/>
        </w:rPr>
        <w:t xml:space="preserve">and evaluated </w:t>
      </w:r>
      <w:r w:rsidR="00487AAF" w:rsidRPr="00443ECB">
        <w:rPr>
          <w:rFonts w:ascii="Anodina Light" w:hAnsi="Anodina Light"/>
        </w:rPr>
        <w:t xml:space="preserve">in a classic </w:t>
      </w:r>
      <w:r w:rsidR="002437EB" w:rsidRPr="00443ECB">
        <w:rPr>
          <w:rFonts w:ascii="Anodina Light" w:hAnsi="Anodina Light"/>
        </w:rPr>
        <w:t xml:space="preserve">medicinal chemistry </w:t>
      </w:r>
      <w:r w:rsidR="00487AAF" w:rsidRPr="00443ECB">
        <w:rPr>
          <w:rFonts w:ascii="Anodina Light" w:hAnsi="Anodina Light"/>
        </w:rPr>
        <w:t xml:space="preserve">campaign </w:t>
      </w:r>
      <w:r w:rsidR="00CE4CD4" w:rsidRPr="00443ECB">
        <w:rPr>
          <w:rFonts w:ascii="Anodina Light" w:hAnsi="Anodina Light"/>
        </w:rPr>
        <w:t>taking several</w:t>
      </w:r>
      <w:r w:rsidR="00487AAF" w:rsidRPr="00443ECB">
        <w:rPr>
          <w:rFonts w:ascii="Anodina Light" w:hAnsi="Anodina Light"/>
        </w:rPr>
        <w:t xml:space="preserve"> years.</w:t>
      </w:r>
    </w:p>
    <w:p w14:paraId="17768729" w14:textId="2CA2DE65" w:rsidR="005B51A3" w:rsidRPr="00443ECB" w:rsidRDefault="00B16A85" w:rsidP="00B57109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>T</w:t>
      </w:r>
      <w:r w:rsidR="00FF7553" w:rsidRPr="00443ECB">
        <w:rPr>
          <w:rFonts w:ascii="Anodina Light" w:hAnsi="Anodina Light"/>
        </w:rPr>
        <w:t>hrough</w:t>
      </w:r>
      <w:r w:rsidRPr="00443ECB">
        <w:rPr>
          <w:rFonts w:ascii="Anodina Light" w:hAnsi="Anodina Light"/>
        </w:rPr>
        <w:t xml:space="preserve"> hypothesis-driven</w:t>
      </w:r>
      <w:r w:rsidR="00FF7553" w:rsidRPr="00443ECB">
        <w:rPr>
          <w:rFonts w:ascii="Anodina Light" w:hAnsi="Anodina Light"/>
        </w:rPr>
        <w:t xml:space="preserve"> testing </w:t>
      </w:r>
      <w:r w:rsidRPr="00443ECB">
        <w:rPr>
          <w:rFonts w:ascii="Anodina Light" w:hAnsi="Anodina Light"/>
        </w:rPr>
        <w:t>of</w:t>
      </w:r>
      <w:r w:rsidR="003930A8" w:rsidRPr="00443ECB">
        <w:rPr>
          <w:rFonts w:ascii="Anodina Light" w:hAnsi="Anodina Light"/>
        </w:rPr>
        <w:t xml:space="preserve"> </w:t>
      </w:r>
      <w:r w:rsidR="00BA105E" w:rsidRPr="00443ECB">
        <w:rPr>
          <w:rFonts w:ascii="Anodina Light" w:hAnsi="Anodina Light"/>
        </w:rPr>
        <w:t>its</w:t>
      </w:r>
      <w:r w:rsidR="005B51A3" w:rsidRPr="00443ECB">
        <w:rPr>
          <w:rFonts w:ascii="Anodina Light" w:hAnsi="Anodina Light"/>
        </w:rPr>
        <w:t xml:space="preserve"> ability to inhibit FGFR phosphorylation and signaling and</w:t>
      </w:r>
      <w:r w:rsidR="00542931" w:rsidRPr="00443ECB">
        <w:rPr>
          <w:rFonts w:ascii="Anodina Light" w:hAnsi="Anodina Light"/>
        </w:rPr>
        <w:t>, in turn,</w:t>
      </w:r>
      <w:r w:rsidR="005B51A3" w:rsidRPr="00443ECB">
        <w:rPr>
          <w:rFonts w:ascii="Anodina Light" w:hAnsi="Anodina Light"/>
        </w:rPr>
        <w:t xml:space="preserve"> </w:t>
      </w:r>
      <w:r w:rsidR="00CE4CD4" w:rsidRPr="00443ECB">
        <w:rPr>
          <w:rFonts w:ascii="Anodina Light" w:hAnsi="Anodina Light"/>
        </w:rPr>
        <w:t xml:space="preserve">to </w:t>
      </w:r>
      <w:r w:rsidR="005B51A3" w:rsidRPr="00443ECB">
        <w:rPr>
          <w:rFonts w:ascii="Anodina Light" w:hAnsi="Anodina Light"/>
        </w:rPr>
        <w:t xml:space="preserve">decrease </w:t>
      </w:r>
      <w:r w:rsidR="00CE4CD4" w:rsidRPr="00443ECB">
        <w:rPr>
          <w:rFonts w:ascii="Anodina Light" w:hAnsi="Anodina Light"/>
        </w:rPr>
        <w:t xml:space="preserve">the </w:t>
      </w:r>
      <w:r w:rsidR="005B51A3" w:rsidRPr="00443ECB">
        <w:rPr>
          <w:rFonts w:ascii="Anodina Light" w:hAnsi="Anodina Light"/>
        </w:rPr>
        <w:t xml:space="preserve">viability </w:t>
      </w:r>
      <w:r w:rsidR="00BD5A13" w:rsidRPr="00443ECB">
        <w:rPr>
          <w:rFonts w:ascii="Anodina Light" w:hAnsi="Anodina Light"/>
        </w:rPr>
        <w:t xml:space="preserve">of </w:t>
      </w:r>
      <w:r w:rsidR="005B51A3" w:rsidRPr="00443ECB">
        <w:rPr>
          <w:rFonts w:ascii="Anodina Light" w:hAnsi="Anodina Light"/>
        </w:rPr>
        <w:t>cell</w:t>
      </w:r>
      <w:r w:rsidR="00BD5A13" w:rsidRPr="00443ECB">
        <w:rPr>
          <w:rFonts w:ascii="Anodina Light" w:hAnsi="Anodina Light"/>
        </w:rPr>
        <w:t>s</w:t>
      </w:r>
      <w:r w:rsidR="005B51A3" w:rsidRPr="00443ECB">
        <w:rPr>
          <w:rFonts w:ascii="Anodina Light" w:hAnsi="Anodina Light"/>
        </w:rPr>
        <w:t xml:space="preserve"> expressing </w:t>
      </w:r>
      <w:r w:rsidR="005B51A3" w:rsidRPr="00443ECB">
        <w:rPr>
          <w:rFonts w:ascii="Anodina Light" w:hAnsi="Anodina Light"/>
          <w:i/>
        </w:rPr>
        <w:t>FGFR</w:t>
      </w:r>
      <w:r w:rsidR="005B51A3" w:rsidRPr="00443ECB">
        <w:rPr>
          <w:rFonts w:ascii="Anodina Light" w:hAnsi="Anodina Light"/>
        </w:rPr>
        <w:t xml:space="preserve"> genetic alterations</w:t>
      </w:r>
      <w:r w:rsidRPr="00443ECB">
        <w:rPr>
          <w:rFonts w:ascii="Anodina Light" w:hAnsi="Anodina Light"/>
        </w:rPr>
        <w:t xml:space="preserve">, </w:t>
      </w:r>
      <w:r w:rsidR="001059E8" w:rsidRPr="00443ECB">
        <w:rPr>
          <w:rFonts w:ascii="Anodina Light" w:hAnsi="Anodina Light"/>
        </w:rPr>
        <w:t xml:space="preserve">early preclinical </w:t>
      </w:r>
      <w:r w:rsidR="00276346" w:rsidRPr="00443ECB">
        <w:rPr>
          <w:rFonts w:ascii="Anodina Light" w:hAnsi="Anodina Light"/>
        </w:rPr>
        <w:t xml:space="preserve">results </w:t>
      </w:r>
      <w:r w:rsidR="00D6251C" w:rsidRPr="00443ECB">
        <w:rPr>
          <w:rFonts w:ascii="Anodina Light" w:hAnsi="Anodina Light"/>
        </w:rPr>
        <w:t>demonstrated</w:t>
      </w:r>
      <w:r w:rsidRPr="00443ECB">
        <w:rPr>
          <w:rFonts w:ascii="Anodina Light" w:hAnsi="Anodina Light"/>
        </w:rPr>
        <w:t xml:space="preserve"> </w:t>
      </w:r>
      <w:r w:rsidR="001059E8" w:rsidRPr="00443ECB">
        <w:rPr>
          <w:rFonts w:ascii="Anodina Light" w:hAnsi="Anodina Light"/>
        </w:rPr>
        <w:t xml:space="preserve">the potential of </w:t>
      </w:r>
      <w:r w:rsidRPr="00443ECB">
        <w:rPr>
          <w:rFonts w:ascii="Anodina Light" w:hAnsi="Anodina Light"/>
        </w:rPr>
        <w:t>Pemazyre</w:t>
      </w:r>
      <w:r w:rsidR="005B51A3" w:rsidRPr="00443ECB">
        <w:rPr>
          <w:rFonts w:ascii="Anodina Light" w:hAnsi="Anodina Light"/>
        </w:rPr>
        <w:t xml:space="preserve"> </w:t>
      </w:r>
      <w:r w:rsidR="001059E8" w:rsidRPr="00443ECB">
        <w:rPr>
          <w:rFonts w:ascii="Anodina Light" w:hAnsi="Anodina Light"/>
        </w:rPr>
        <w:t>as a candidate for treatment of malignancies with FGFR alterations</w:t>
      </w:r>
      <w:r w:rsidR="00443ECB">
        <w:rPr>
          <w:rFonts w:ascii="Anodina Light" w:hAnsi="Anodina Light"/>
        </w:rPr>
        <w:t>.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_Ref72848794 \h 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18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4C678A" w:rsidRPr="004C678A">
        <w:rPr>
          <w:rFonts w:ascii="Anodina Light" w:hAnsi="Anodina Light"/>
          <w:vertAlign w:val="superscript"/>
        </w:rPr>
        <w:t xml:space="preserve"> </w:t>
      </w:r>
    </w:p>
    <w:p w14:paraId="120D84D4" w14:textId="44FF0786" w:rsidR="00F743DF" w:rsidRPr="00443ECB" w:rsidRDefault="001059E8" w:rsidP="003D02D8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In </w:t>
      </w:r>
      <w:r w:rsidR="00972C66" w:rsidRPr="00443ECB">
        <w:rPr>
          <w:rFonts w:ascii="Anodina Light" w:hAnsi="Anodina Light"/>
        </w:rPr>
        <w:t>animal models</w:t>
      </w:r>
      <w:r w:rsidRPr="00443ECB">
        <w:rPr>
          <w:rFonts w:ascii="Anodina Light" w:hAnsi="Anodina Light"/>
        </w:rPr>
        <w:t xml:space="preserve">, Pemazyre suppressed the growth of tumors </w:t>
      </w:r>
      <w:r w:rsidR="00972C66" w:rsidRPr="00443ECB">
        <w:rPr>
          <w:rFonts w:ascii="Anodina Light" w:hAnsi="Anodina Light"/>
        </w:rPr>
        <w:t xml:space="preserve">driven by </w:t>
      </w:r>
      <w:r w:rsidRPr="00443ECB">
        <w:rPr>
          <w:rFonts w:ascii="Anodina Light" w:hAnsi="Anodina Light"/>
        </w:rPr>
        <w:t>dysregulated FGFR signaling</w:t>
      </w:r>
      <w:r w:rsidR="00972C66" w:rsidRPr="00443ECB">
        <w:rPr>
          <w:rFonts w:ascii="Anodina Light" w:hAnsi="Anodina Light"/>
        </w:rPr>
        <w:t>,</w:t>
      </w:r>
      <w:r w:rsidRPr="00443ECB">
        <w:rPr>
          <w:rFonts w:ascii="Anodina Light" w:hAnsi="Anodina Light"/>
        </w:rPr>
        <w:t xml:space="preserve"> in</w:t>
      </w:r>
      <w:r w:rsidR="00972C66" w:rsidRPr="00443ECB">
        <w:rPr>
          <w:rFonts w:ascii="Anodina Light" w:hAnsi="Anodina Light"/>
        </w:rPr>
        <w:t xml:space="preserve">cluding </w:t>
      </w:r>
      <w:r w:rsidR="00A53D53" w:rsidRPr="00443ECB">
        <w:rPr>
          <w:rFonts w:ascii="Anodina Light" w:hAnsi="Anodina Light"/>
        </w:rPr>
        <w:t xml:space="preserve">tumors with </w:t>
      </w:r>
      <w:r w:rsidR="00A53D53" w:rsidRPr="00443ECB">
        <w:rPr>
          <w:rFonts w:ascii="Anodina Light" w:hAnsi="Anodina Light"/>
          <w:i/>
        </w:rPr>
        <w:t>FGFR2</w:t>
      </w:r>
      <w:r w:rsidR="00A53D53" w:rsidRPr="00443ECB">
        <w:rPr>
          <w:rFonts w:ascii="Anodina Light" w:hAnsi="Anodina Light"/>
        </w:rPr>
        <w:t xml:space="preserve"> fusions derived from </w:t>
      </w:r>
      <w:r w:rsidRPr="00443ECB">
        <w:rPr>
          <w:rFonts w:ascii="Anodina Light" w:hAnsi="Anodina Light"/>
        </w:rPr>
        <w:t>patient</w:t>
      </w:r>
      <w:r w:rsidR="00A53D53" w:rsidRPr="00443ECB">
        <w:rPr>
          <w:rFonts w:ascii="Anodina Light" w:hAnsi="Anodina Light"/>
        </w:rPr>
        <w:t xml:space="preserve">s with </w:t>
      </w:r>
      <w:r w:rsidR="00972C66" w:rsidRPr="00443ECB">
        <w:rPr>
          <w:rFonts w:ascii="Anodina Light" w:hAnsi="Anodina Light"/>
        </w:rPr>
        <w:t>CCA.</w:t>
      </w:r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_Ref72848794 \h </w:instrText>
      </w:r>
      <w:r w:rsidR="004C678A">
        <w:rPr>
          <w:rFonts w:ascii="Anodina Light" w:hAnsi="Anodina Light"/>
          <w:vertAlign w:val="superscript"/>
        </w:rPr>
        <w:instrText xml:space="preserve">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18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972C66" w:rsidRPr="00443ECB">
        <w:rPr>
          <w:rFonts w:ascii="Anodina Light" w:hAnsi="Anodina Light"/>
          <w:vertAlign w:val="superscript"/>
        </w:rPr>
        <w:t xml:space="preserve"> </w:t>
      </w:r>
      <w:r w:rsidR="00487AAF" w:rsidRPr="00443ECB">
        <w:rPr>
          <w:rFonts w:ascii="Anodina Light" w:hAnsi="Anodina Light"/>
        </w:rPr>
        <w:t xml:space="preserve">Pre-clinical </w:t>
      </w:r>
      <w:r w:rsidR="00972C66" w:rsidRPr="00443ECB">
        <w:rPr>
          <w:rFonts w:ascii="Anodina Light" w:hAnsi="Anodina Light"/>
        </w:rPr>
        <w:t xml:space="preserve">characterization </w:t>
      </w:r>
      <w:r w:rsidR="00487AAF" w:rsidRPr="00443ECB">
        <w:rPr>
          <w:rFonts w:ascii="Anodina Light" w:hAnsi="Anodina Light"/>
        </w:rPr>
        <w:t xml:space="preserve">of </w:t>
      </w:r>
      <w:r w:rsidR="00972C66" w:rsidRPr="00443ECB">
        <w:rPr>
          <w:rFonts w:ascii="Anodina Light" w:hAnsi="Anodina Light"/>
        </w:rPr>
        <w:t xml:space="preserve">the </w:t>
      </w:r>
      <w:r w:rsidR="00487AAF" w:rsidRPr="00443ECB">
        <w:rPr>
          <w:rFonts w:ascii="Anodina Light" w:hAnsi="Anodina Light"/>
        </w:rPr>
        <w:t xml:space="preserve">pharmacokinetics and metabolism </w:t>
      </w:r>
      <w:r w:rsidR="00972C66" w:rsidRPr="00443ECB">
        <w:rPr>
          <w:rFonts w:ascii="Anodina Light" w:hAnsi="Anodina Light"/>
        </w:rPr>
        <w:t xml:space="preserve">of Pemazyre, as well as a comprehensive toxicology program, provided evidence </w:t>
      </w:r>
      <w:r w:rsidR="004E0515" w:rsidRPr="00443ECB">
        <w:rPr>
          <w:rFonts w:ascii="Anodina Light" w:hAnsi="Anodina Light"/>
        </w:rPr>
        <w:t xml:space="preserve">around </w:t>
      </w:r>
      <w:r w:rsidR="00972C66" w:rsidRPr="00443ECB">
        <w:rPr>
          <w:rFonts w:ascii="Anodina Light" w:hAnsi="Anodina Light"/>
        </w:rPr>
        <w:t>dose</w:t>
      </w:r>
      <w:r w:rsidR="004E0515" w:rsidRPr="00443ECB">
        <w:rPr>
          <w:rFonts w:ascii="Anodina Light" w:hAnsi="Anodina Light"/>
        </w:rPr>
        <w:t>-</w:t>
      </w:r>
      <w:r w:rsidR="00972C66" w:rsidRPr="00443ECB">
        <w:rPr>
          <w:rFonts w:ascii="Anodina Light" w:hAnsi="Anodina Light"/>
        </w:rPr>
        <w:t>limiting toxicities, target organs</w:t>
      </w:r>
      <w:r w:rsidR="004E0515" w:rsidRPr="00443ECB">
        <w:rPr>
          <w:rFonts w:ascii="Anodina Light" w:hAnsi="Anodina Light"/>
        </w:rPr>
        <w:t>,</w:t>
      </w:r>
      <w:r w:rsidR="00972C66" w:rsidRPr="00443ECB">
        <w:rPr>
          <w:rFonts w:ascii="Anodina Light" w:hAnsi="Anodina Light"/>
        </w:rPr>
        <w:t xml:space="preserve"> and exposures</w:t>
      </w:r>
      <w:r w:rsidR="004E0515" w:rsidRPr="00443ECB">
        <w:rPr>
          <w:rFonts w:ascii="Anodina Light" w:hAnsi="Anodina Light"/>
        </w:rPr>
        <w:t xml:space="preserve">, which </w:t>
      </w:r>
      <w:r w:rsidR="00972C66" w:rsidRPr="00443ECB">
        <w:rPr>
          <w:rFonts w:ascii="Anodina Light" w:hAnsi="Anodina Light"/>
        </w:rPr>
        <w:t>supported advancement into clinical studies</w:t>
      </w:r>
      <w:r w:rsidR="00487AAF" w:rsidRPr="00443ECB">
        <w:rPr>
          <w:rFonts w:ascii="Anodina Light" w:hAnsi="Anodina Light"/>
        </w:rPr>
        <w:t>.</w:t>
      </w:r>
      <w:bookmarkStart w:id="8" w:name="_Ref72917835"/>
      <w:r w:rsidR="004C678A" w:rsidRPr="004C678A">
        <w:rPr>
          <w:rFonts w:ascii="Anodina Light" w:hAnsi="Anodina Light"/>
          <w:vertAlign w:val="superscript"/>
        </w:rPr>
        <w:fldChar w:fldCharType="begin"/>
      </w:r>
      <w:r w:rsidR="004C678A" w:rsidRPr="004C678A">
        <w:rPr>
          <w:rFonts w:ascii="Anodina Light" w:hAnsi="Anodina Light"/>
          <w:vertAlign w:val="superscript"/>
        </w:rPr>
        <w:instrText xml:space="preserve"> NOTEREF _Ref72917684 \h  \* MERGEFORMAT </w:instrText>
      </w:r>
      <w:r w:rsidR="004C678A" w:rsidRPr="004C678A">
        <w:rPr>
          <w:rFonts w:ascii="Anodina Light" w:hAnsi="Anodina Light"/>
          <w:vertAlign w:val="superscript"/>
        </w:rPr>
      </w:r>
      <w:r w:rsidR="004C678A" w:rsidRPr="004C678A">
        <w:rPr>
          <w:rFonts w:ascii="Anodina Light" w:hAnsi="Anodina Light"/>
          <w:vertAlign w:val="superscript"/>
        </w:rPr>
        <w:fldChar w:fldCharType="separate"/>
      </w:r>
      <w:r w:rsidR="004C678A" w:rsidRPr="004C678A">
        <w:rPr>
          <w:rFonts w:ascii="Anodina Light" w:hAnsi="Anodina Light"/>
          <w:vertAlign w:val="superscript"/>
        </w:rPr>
        <w:t>1</w:t>
      </w:r>
      <w:r w:rsidR="004C678A" w:rsidRPr="004C678A">
        <w:rPr>
          <w:rFonts w:ascii="Anodina Light" w:hAnsi="Anodina Light"/>
          <w:vertAlign w:val="superscript"/>
        </w:rPr>
        <w:fldChar w:fldCharType="end"/>
      </w:r>
      <w:r w:rsidR="004C678A">
        <w:rPr>
          <w:rFonts w:ascii="Anodina Light" w:hAnsi="Anodina Light"/>
          <w:vertAlign w:val="superscript"/>
        </w:rPr>
        <w:t>,</w:t>
      </w:r>
      <w:bookmarkStart w:id="9" w:name="_Ref72918548"/>
      <w:r w:rsidR="00443ECB">
        <w:rPr>
          <w:rStyle w:val="EndnoteReference"/>
          <w:rFonts w:ascii="Anodina Light" w:hAnsi="Anodina Light"/>
        </w:rPr>
        <w:endnoteReference w:id="20"/>
      </w:r>
      <w:bookmarkEnd w:id="8"/>
      <w:bookmarkEnd w:id="9"/>
      <w:r w:rsidR="00FE4198" w:rsidRPr="00443ECB">
        <w:rPr>
          <w:rFonts w:ascii="Anodina Light" w:hAnsi="Anodina Light"/>
        </w:rPr>
        <w:t xml:space="preserve"> </w:t>
      </w:r>
      <w:r w:rsidR="00542931" w:rsidRPr="00443ECB">
        <w:rPr>
          <w:rFonts w:ascii="Anodina Light" w:hAnsi="Anodina Light"/>
        </w:rPr>
        <w:t xml:space="preserve">Formulation studies enabled the preparation of Pemazyre as an </w:t>
      </w:r>
      <w:r w:rsidR="00276346" w:rsidRPr="00443ECB">
        <w:rPr>
          <w:rFonts w:ascii="Anodina Light" w:hAnsi="Anodina Light"/>
        </w:rPr>
        <w:t>immediate</w:t>
      </w:r>
      <w:r w:rsidR="004E0515" w:rsidRPr="00443ECB">
        <w:rPr>
          <w:rFonts w:ascii="Anodina Light" w:hAnsi="Anodina Light"/>
        </w:rPr>
        <w:t>-</w:t>
      </w:r>
      <w:r w:rsidR="00276346" w:rsidRPr="00443ECB">
        <w:rPr>
          <w:rFonts w:ascii="Anodina Light" w:hAnsi="Anodina Light"/>
        </w:rPr>
        <w:t xml:space="preserve">release tablet </w:t>
      </w:r>
      <w:r w:rsidR="003930A8" w:rsidRPr="00443ECB">
        <w:rPr>
          <w:rFonts w:ascii="Anodina Light" w:hAnsi="Anodina Light"/>
        </w:rPr>
        <w:t>that</w:t>
      </w:r>
      <w:r w:rsidR="00276346" w:rsidRPr="00443ECB">
        <w:rPr>
          <w:rFonts w:ascii="Anodina Light" w:hAnsi="Anodina Light"/>
        </w:rPr>
        <w:t xml:space="preserve"> promote</w:t>
      </w:r>
      <w:r w:rsidR="003930A8" w:rsidRPr="00443ECB">
        <w:rPr>
          <w:rFonts w:ascii="Anodina Light" w:hAnsi="Anodina Light"/>
        </w:rPr>
        <w:t>s</w:t>
      </w:r>
      <w:r w:rsidR="00276346" w:rsidRPr="00443ECB">
        <w:rPr>
          <w:rFonts w:ascii="Anodina Light" w:hAnsi="Anodina Light"/>
        </w:rPr>
        <w:t xml:space="preserve"> rapid oral absorption.</w:t>
      </w:r>
      <w:r w:rsidR="00874A20" w:rsidRPr="00874A20">
        <w:rPr>
          <w:rFonts w:ascii="Anodina Light" w:hAnsi="Anodina Light"/>
          <w:vertAlign w:val="superscript"/>
        </w:rPr>
        <w:fldChar w:fldCharType="begin"/>
      </w:r>
      <w:r w:rsidR="00874A20" w:rsidRPr="00874A20">
        <w:rPr>
          <w:rFonts w:ascii="Anodina Light" w:hAnsi="Anodina Light"/>
          <w:vertAlign w:val="superscript"/>
        </w:rPr>
        <w:instrText xml:space="preserve"> NOTEREF _Ref72917684 \h </w:instrText>
      </w:r>
      <w:r w:rsidR="00874A20">
        <w:rPr>
          <w:rFonts w:ascii="Anodina Light" w:hAnsi="Anodina Light"/>
          <w:vertAlign w:val="superscript"/>
        </w:rPr>
        <w:instrText xml:space="preserve"> \* MERGEFORMAT </w:instrText>
      </w:r>
      <w:r w:rsidR="00874A20" w:rsidRPr="00874A20">
        <w:rPr>
          <w:rFonts w:ascii="Anodina Light" w:hAnsi="Anodina Light"/>
          <w:vertAlign w:val="superscript"/>
        </w:rPr>
      </w:r>
      <w:r w:rsidR="00874A20" w:rsidRPr="00874A20">
        <w:rPr>
          <w:rFonts w:ascii="Anodina Light" w:hAnsi="Anodina Light"/>
          <w:vertAlign w:val="superscript"/>
        </w:rPr>
        <w:fldChar w:fldCharType="separate"/>
      </w:r>
      <w:r w:rsidR="00874A20" w:rsidRPr="00874A20">
        <w:rPr>
          <w:rFonts w:ascii="Anodina Light" w:hAnsi="Anodina Light"/>
          <w:vertAlign w:val="superscript"/>
        </w:rPr>
        <w:t>1</w:t>
      </w:r>
      <w:r w:rsidR="00874A20" w:rsidRPr="00874A20">
        <w:rPr>
          <w:rFonts w:ascii="Anodina Light" w:hAnsi="Anodina Light"/>
          <w:vertAlign w:val="superscript"/>
        </w:rPr>
        <w:fldChar w:fldCharType="end"/>
      </w:r>
      <w:r w:rsidR="00874A20" w:rsidRPr="00874A20">
        <w:rPr>
          <w:rFonts w:ascii="Anodina Light" w:hAnsi="Anodina Light"/>
          <w:vertAlign w:val="superscript"/>
        </w:rPr>
        <w:t>,</w:t>
      </w:r>
      <w:r w:rsidR="00874A20" w:rsidRPr="00874A20">
        <w:rPr>
          <w:rFonts w:ascii="Anodina Light" w:hAnsi="Anodina Light"/>
          <w:vertAlign w:val="superscript"/>
        </w:rPr>
        <w:fldChar w:fldCharType="begin"/>
      </w:r>
      <w:r w:rsidR="00874A20" w:rsidRPr="00874A20">
        <w:rPr>
          <w:rFonts w:ascii="Anodina Light" w:hAnsi="Anodina Light"/>
          <w:vertAlign w:val="superscript"/>
        </w:rPr>
        <w:instrText xml:space="preserve"> NOTEREF _Ref72848794 \h </w:instrText>
      </w:r>
      <w:r w:rsidR="00874A20">
        <w:rPr>
          <w:rFonts w:ascii="Anodina Light" w:hAnsi="Anodina Light"/>
          <w:vertAlign w:val="superscript"/>
        </w:rPr>
        <w:instrText xml:space="preserve"> \* MERGEFORMAT </w:instrText>
      </w:r>
      <w:r w:rsidR="00874A20" w:rsidRPr="00874A20">
        <w:rPr>
          <w:rFonts w:ascii="Anodina Light" w:hAnsi="Anodina Light"/>
          <w:vertAlign w:val="superscript"/>
        </w:rPr>
      </w:r>
      <w:r w:rsidR="00874A20" w:rsidRPr="00874A20">
        <w:rPr>
          <w:rFonts w:ascii="Anodina Light" w:hAnsi="Anodina Light"/>
          <w:vertAlign w:val="superscript"/>
        </w:rPr>
        <w:fldChar w:fldCharType="separate"/>
      </w:r>
      <w:r w:rsidR="00874A20" w:rsidRPr="00874A20">
        <w:rPr>
          <w:rFonts w:ascii="Anodina Light" w:hAnsi="Anodina Light"/>
          <w:vertAlign w:val="superscript"/>
        </w:rPr>
        <w:t>18</w:t>
      </w:r>
      <w:r w:rsidR="00874A20" w:rsidRPr="00874A20">
        <w:rPr>
          <w:rFonts w:ascii="Anodina Light" w:hAnsi="Anodina Light"/>
          <w:vertAlign w:val="superscript"/>
        </w:rPr>
        <w:fldChar w:fldCharType="end"/>
      </w:r>
      <w:r w:rsidR="00874A20" w:rsidRPr="00874A20">
        <w:rPr>
          <w:rFonts w:ascii="Anodina Light" w:hAnsi="Anodina Light"/>
          <w:vertAlign w:val="superscript"/>
        </w:rPr>
        <w:t>,</w:t>
      </w:r>
      <w:r w:rsidR="00874A20" w:rsidRPr="00874A20">
        <w:rPr>
          <w:rFonts w:ascii="Anodina Light" w:hAnsi="Anodina Light"/>
          <w:vertAlign w:val="superscript"/>
        </w:rPr>
        <w:fldChar w:fldCharType="begin"/>
      </w:r>
      <w:r w:rsidR="00874A20" w:rsidRPr="00874A20">
        <w:rPr>
          <w:rFonts w:ascii="Anodina Light" w:hAnsi="Anodina Light"/>
          <w:vertAlign w:val="superscript"/>
        </w:rPr>
        <w:instrText xml:space="preserve"> NOTEREF _Ref72918548 \h </w:instrText>
      </w:r>
      <w:r w:rsidR="00874A20">
        <w:rPr>
          <w:rFonts w:ascii="Anodina Light" w:hAnsi="Anodina Light"/>
          <w:vertAlign w:val="superscript"/>
        </w:rPr>
        <w:instrText xml:space="preserve"> \* MERGEFORMAT </w:instrText>
      </w:r>
      <w:r w:rsidR="00874A20" w:rsidRPr="00874A20">
        <w:rPr>
          <w:rFonts w:ascii="Anodina Light" w:hAnsi="Anodina Light"/>
          <w:vertAlign w:val="superscript"/>
        </w:rPr>
      </w:r>
      <w:r w:rsidR="00874A20" w:rsidRPr="00874A20">
        <w:rPr>
          <w:rFonts w:ascii="Anodina Light" w:hAnsi="Anodina Light"/>
          <w:vertAlign w:val="superscript"/>
        </w:rPr>
        <w:fldChar w:fldCharType="separate"/>
      </w:r>
      <w:r w:rsidR="00874A20" w:rsidRPr="00874A20">
        <w:rPr>
          <w:rFonts w:ascii="Anodina Light" w:hAnsi="Anodina Light"/>
          <w:vertAlign w:val="superscript"/>
        </w:rPr>
        <w:t>20</w:t>
      </w:r>
      <w:r w:rsidR="00874A20" w:rsidRPr="00874A20">
        <w:rPr>
          <w:rFonts w:ascii="Anodina Light" w:hAnsi="Anodina Light"/>
          <w:vertAlign w:val="superscript"/>
        </w:rPr>
        <w:fldChar w:fldCharType="end"/>
      </w:r>
      <w:r w:rsidR="004C678A" w:rsidRPr="00874A20">
        <w:rPr>
          <w:rFonts w:ascii="Anodina Light" w:hAnsi="Anodina Light"/>
          <w:vertAlign w:val="superscript"/>
        </w:rPr>
        <w:t xml:space="preserve"> </w:t>
      </w:r>
    </w:p>
    <w:p w14:paraId="06B8A09E" w14:textId="3CD2393E" w:rsidR="00624F4D" w:rsidRPr="00443ECB" w:rsidRDefault="00FE4198" w:rsidP="00B40B60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The FDA approval of Pemazyre was based on the </w:t>
      </w:r>
      <w:r w:rsidR="00EC3BFE" w:rsidRPr="00443ECB">
        <w:rPr>
          <w:rFonts w:ascii="Anodina Light" w:hAnsi="Anodina Light"/>
        </w:rPr>
        <w:t xml:space="preserve">multicenter, open-label, single-arm, Phase 2 </w:t>
      </w:r>
      <w:r w:rsidRPr="00443ECB">
        <w:rPr>
          <w:rFonts w:ascii="Anodina Light" w:hAnsi="Anodina Light"/>
        </w:rPr>
        <w:t>FIGHT-202 study</w:t>
      </w:r>
      <w:r w:rsidR="00EC3BFE" w:rsidRPr="00443ECB">
        <w:rPr>
          <w:rFonts w:ascii="Anodina Light" w:hAnsi="Anodina Light"/>
        </w:rPr>
        <w:t xml:space="preserve">, </w:t>
      </w:r>
      <w:r w:rsidR="00F743DF" w:rsidRPr="00443ECB">
        <w:rPr>
          <w:rFonts w:ascii="Anodina Light" w:hAnsi="Anodina Light"/>
        </w:rPr>
        <w:t xml:space="preserve">in which 36% of patients with CCA and </w:t>
      </w:r>
      <w:r w:rsidR="00F743DF" w:rsidRPr="00443ECB">
        <w:rPr>
          <w:rFonts w:ascii="Anodina Light" w:hAnsi="Anodina Light"/>
          <w:i/>
        </w:rPr>
        <w:t>FGFR2</w:t>
      </w:r>
      <w:r w:rsidR="00F743DF" w:rsidRPr="00443ECB">
        <w:rPr>
          <w:rFonts w:ascii="Anodina Light" w:hAnsi="Anodina Light"/>
        </w:rPr>
        <w:t xml:space="preserve"> fusions or rearrangements exhibited a clinical response to Pemazyre with a manageable safety profile</w:t>
      </w:r>
      <w:r w:rsidR="00EC3BFE" w:rsidRPr="00443ECB">
        <w:rPr>
          <w:rFonts w:ascii="Anodina Light" w:hAnsi="Anodina Light"/>
        </w:rPr>
        <w:t>.</w:t>
      </w:r>
      <w:bookmarkStart w:id="10" w:name="_Ref72919472"/>
      <w:r w:rsidR="00BF1367">
        <w:rPr>
          <w:rStyle w:val="EndnoteReference"/>
          <w:rFonts w:ascii="Anodina Light" w:hAnsi="Anodina Light"/>
        </w:rPr>
        <w:endnoteReference w:id="21"/>
      </w:r>
      <w:bookmarkEnd w:id="10"/>
      <w:r w:rsidR="00487AAF" w:rsidRPr="00443ECB">
        <w:rPr>
          <w:rFonts w:ascii="Anodina Light" w:hAnsi="Anodina Light"/>
        </w:rPr>
        <w:t xml:space="preserve"> </w:t>
      </w:r>
      <w:r w:rsidR="00432BFA" w:rsidRPr="00443ECB">
        <w:rPr>
          <w:rFonts w:ascii="Anodina Light" w:hAnsi="Anodina Light"/>
        </w:rPr>
        <w:t xml:space="preserve">The clinical development program also informed the understanding of </w:t>
      </w:r>
      <w:r w:rsidR="00487AAF" w:rsidRPr="00443ECB">
        <w:rPr>
          <w:rFonts w:ascii="Anodina Light" w:hAnsi="Anodina Light"/>
        </w:rPr>
        <w:t xml:space="preserve">potential drug-drug and drug-disease interactions and </w:t>
      </w:r>
      <w:r w:rsidR="00432BFA" w:rsidRPr="00443ECB">
        <w:rPr>
          <w:rFonts w:ascii="Anodina Light" w:hAnsi="Anodina Light"/>
        </w:rPr>
        <w:t xml:space="preserve">guidance for </w:t>
      </w:r>
      <w:r w:rsidR="00487AAF" w:rsidRPr="00443ECB">
        <w:rPr>
          <w:rFonts w:ascii="Anodina Light" w:hAnsi="Anodina Light"/>
        </w:rPr>
        <w:t>dose adjustments in those situations.</w:t>
      </w:r>
      <w:r w:rsidR="00BF1367" w:rsidRPr="00BF1367">
        <w:rPr>
          <w:rFonts w:ascii="Anodina Light" w:hAnsi="Anodina Light"/>
          <w:vertAlign w:val="superscript"/>
        </w:rPr>
        <w:fldChar w:fldCharType="begin"/>
      </w:r>
      <w:r w:rsidR="00BF1367" w:rsidRPr="00BF1367">
        <w:rPr>
          <w:rFonts w:ascii="Anodina Light" w:hAnsi="Anodina Light"/>
          <w:vertAlign w:val="superscript"/>
        </w:rPr>
        <w:instrText xml:space="preserve"> NOTEREF _Ref72917684 \h </w:instrText>
      </w:r>
      <w:r w:rsidR="00BF1367">
        <w:rPr>
          <w:rFonts w:ascii="Anodina Light" w:hAnsi="Anodina Light"/>
          <w:vertAlign w:val="superscript"/>
        </w:rPr>
        <w:instrText xml:space="preserve"> \* MERGEFORMAT </w:instrText>
      </w:r>
      <w:r w:rsidR="00BF1367" w:rsidRPr="00BF1367">
        <w:rPr>
          <w:rFonts w:ascii="Anodina Light" w:hAnsi="Anodina Light"/>
          <w:vertAlign w:val="superscript"/>
        </w:rPr>
      </w:r>
      <w:r w:rsidR="00BF1367" w:rsidRPr="00BF1367">
        <w:rPr>
          <w:rFonts w:ascii="Anodina Light" w:hAnsi="Anodina Light"/>
          <w:vertAlign w:val="superscript"/>
        </w:rPr>
        <w:fldChar w:fldCharType="separate"/>
      </w:r>
      <w:r w:rsidR="00BF1367" w:rsidRPr="00BF1367">
        <w:rPr>
          <w:rFonts w:ascii="Anodina Light" w:hAnsi="Anodina Light"/>
          <w:vertAlign w:val="superscript"/>
        </w:rPr>
        <w:t>1</w:t>
      </w:r>
      <w:r w:rsidR="00BF1367" w:rsidRPr="00BF1367">
        <w:rPr>
          <w:rFonts w:ascii="Anodina Light" w:hAnsi="Anodina Light"/>
          <w:vertAlign w:val="superscript"/>
        </w:rPr>
        <w:fldChar w:fldCharType="end"/>
      </w:r>
      <w:r w:rsidR="00CC081C" w:rsidRPr="00443ECB">
        <w:rPr>
          <w:rFonts w:ascii="Anodina Light" w:hAnsi="Anodina Light"/>
        </w:rPr>
        <w:t xml:space="preserve"> </w:t>
      </w:r>
      <w:r w:rsidR="00432BFA" w:rsidRPr="00443ECB">
        <w:rPr>
          <w:rFonts w:ascii="Anodina Light" w:hAnsi="Anodina Light"/>
        </w:rPr>
        <w:t xml:space="preserve">Characterization of </w:t>
      </w:r>
      <w:r w:rsidR="00487AAF" w:rsidRPr="00443ECB">
        <w:rPr>
          <w:rFonts w:ascii="Anodina Light" w:hAnsi="Anodina Light"/>
        </w:rPr>
        <w:t xml:space="preserve">doses and exposures associated with </w:t>
      </w:r>
      <w:r w:rsidR="00432BFA" w:rsidRPr="00443ECB">
        <w:rPr>
          <w:rFonts w:ascii="Anodina Light" w:hAnsi="Anodina Light"/>
        </w:rPr>
        <w:t xml:space="preserve">anti-tumor </w:t>
      </w:r>
      <w:r w:rsidR="00487AAF" w:rsidRPr="00443ECB">
        <w:rPr>
          <w:rFonts w:ascii="Anodina Light" w:hAnsi="Anodina Light"/>
        </w:rPr>
        <w:t xml:space="preserve">efficacy and on-target toxicity (hyperphosphatemia) </w:t>
      </w:r>
      <w:r w:rsidR="00432BFA" w:rsidRPr="00443ECB">
        <w:rPr>
          <w:rFonts w:ascii="Anodina Light" w:hAnsi="Anodina Light"/>
        </w:rPr>
        <w:t xml:space="preserve">was </w:t>
      </w:r>
      <w:r w:rsidR="00487AAF" w:rsidRPr="00443ECB">
        <w:rPr>
          <w:rFonts w:ascii="Anodina Light" w:hAnsi="Anodina Light"/>
        </w:rPr>
        <w:t xml:space="preserve">instrumental in setting </w:t>
      </w:r>
      <w:r w:rsidR="00B16A85" w:rsidRPr="00443ECB">
        <w:rPr>
          <w:rFonts w:ascii="Anodina Light" w:hAnsi="Anodina Light"/>
        </w:rPr>
        <w:t>the</w:t>
      </w:r>
      <w:r w:rsidR="00487AAF" w:rsidRPr="00443ECB">
        <w:rPr>
          <w:rFonts w:ascii="Anodina Light" w:hAnsi="Anodina Light"/>
        </w:rPr>
        <w:t xml:space="preserve"> </w:t>
      </w:r>
      <w:r w:rsidR="00B16A85" w:rsidRPr="00443ECB">
        <w:rPr>
          <w:rFonts w:ascii="Anodina Light" w:hAnsi="Anodina Light"/>
        </w:rPr>
        <w:t xml:space="preserve">optimal </w:t>
      </w:r>
      <w:r w:rsidR="003961AA" w:rsidRPr="00443ECB">
        <w:rPr>
          <w:rFonts w:ascii="Anodina Light" w:hAnsi="Anodina Light"/>
        </w:rPr>
        <w:t>d</w:t>
      </w:r>
      <w:r w:rsidR="00487AAF" w:rsidRPr="00443ECB">
        <w:rPr>
          <w:rFonts w:ascii="Anodina Light" w:hAnsi="Anodina Light"/>
        </w:rPr>
        <w:t>ose</w:t>
      </w:r>
      <w:r w:rsidR="00B16A85" w:rsidRPr="00443ECB">
        <w:rPr>
          <w:rFonts w:ascii="Anodina Light" w:hAnsi="Anodina Light"/>
        </w:rPr>
        <w:t xml:space="preserve"> range and protocols for </w:t>
      </w:r>
      <w:r w:rsidR="00542931" w:rsidRPr="00443ECB">
        <w:rPr>
          <w:rFonts w:ascii="Anodina Light" w:hAnsi="Anodina Light"/>
        </w:rPr>
        <w:t>adverse event management</w:t>
      </w:r>
      <w:r w:rsidR="00487AAF" w:rsidRPr="00443ECB">
        <w:rPr>
          <w:rFonts w:ascii="Anodina Light" w:hAnsi="Anodina Light"/>
        </w:rPr>
        <w:t>.</w:t>
      </w:r>
      <w:r w:rsidR="00BF1367" w:rsidRPr="00BF1367">
        <w:rPr>
          <w:rFonts w:ascii="Anodina Light" w:hAnsi="Anodina Light"/>
          <w:vertAlign w:val="superscript"/>
        </w:rPr>
        <w:fldChar w:fldCharType="begin"/>
      </w:r>
      <w:r w:rsidR="00BF1367" w:rsidRPr="00BF1367">
        <w:rPr>
          <w:rFonts w:ascii="Anodina Light" w:hAnsi="Anodina Light"/>
          <w:vertAlign w:val="superscript"/>
        </w:rPr>
        <w:instrText xml:space="preserve"> NOTEREF _Ref72917684 \h </w:instrText>
      </w:r>
      <w:r w:rsidR="00BF1367">
        <w:rPr>
          <w:rFonts w:ascii="Anodina Light" w:hAnsi="Anodina Light"/>
          <w:vertAlign w:val="superscript"/>
        </w:rPr>
        <w:instrText xml:space="preserve"> \* MERGEFORMAT </w:instrText>
      </w:r>
      <w:r w:rsidR="00BF1367" w:rsidRPr="00BF1367">
        <w:rPr>
          <w:rFonts w:ascii="Anodina Light" w:hAnsi="Anodina Light"/>
          <w:vertAlign w:val="superscript"/>
        </w:rPr>
      </w:r>
      <w:r w:rsidR="00BF1367" w:rsidRPr="00BF1367">
        <w:rPr>
          <w:rFonts w:ascii="Anodina Light" w:hAnsi="Anodina Light"/>
          <w:vertAlign w:val="superscript"/>
        </w:rPr>
        <w:fldChar w:fldCharType="separate"/>
      </w:r>
      <w:r w:rsidR="00BF1367" w:rsidRPr="00BF1367">
        <w:rPr>
          <w:rFonts w:ascii="Anodina Light" w:hAnsi="Anodina Light"/>
          <w:vertAlign w:val="superscript"/>
        </w:rPr>
        <w:t>1</w:t>
      </w:r>
      <w:r w:rsidR="00BF1367" w:rsidRPr="00BF1367">
        <w:rPr>
          <w:rFonts w:ascii="Anodina Light" w:hAnsi="Anodina Light"/>
          <w:vertAlign w:val="superscript"/>
        </w:rPr>
        <w:fldChar w:fldCharType="end"/>
      </w:r>
      <w:r w:rsidR="00BF1367" w:rsidRPr="00443ECB">
        <w:rPr>
          <w:rStyle w:val="CommentReference"/>
          <w:rFonts w:ascii="Anodina Light" w:hAnsi="Anodina Light"/>
        </w:rPr>
        <w:t xml:space="preserve"> </w:t>
      </w:r>
    </w:p>
    <w:p w14:paraId="1A5A9ACB" w14:textId="4FA912B0" w:rsidR="001059E8" w:rsidRPr="00443ECB" w:rsidRDefault="001059E8" w:rsidP="00B40B60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In </w:t>
      </w:r>
      <w:r w:rsidR="00432BFA" w:rsidRPr="00443ECB">
        <w:rPr>
          <w:rFonts w:ascii="Anodina Light" w:hAnsi="Anodina Light"/>
        </w:rPr>
        <w:t xml:space="preserve">parallel to its clinical development, and in </w:t>
      </w:r>
      <w:r w:rsidRPr="00443ECB">
        <w:rPr>
          <w:rFonts w:ascii="Anodina Light" w:hAnsi="Anodina Light"/>
        </w:rPr>
        <w:t>recognition of its potential, the U.S. Food and Drug Administration (FDA) granted pemigatinib Breakthrough Therapy designation, Orphan Drug designation, Priority Review, and Accelerated Approval for the treatment of CCA.</w:t>
      </w:r>
    </w:p>
    <w:p w14:paraId="43D803CC" w14:textId="786646D7" w:rsidR="00592F50" w:rsidRPr="00443ECB" w:rsidRDefault="00B40B60" w:rsidP="00B40B60">
      <w:pPr>
        <w:rPr>
          <w:rFonts w:ascii="Anodina Light" w:hAnsi="Anodina Light"/>
          <w:b/>
          <w:bCs/>
          <w:sz w:val="32"/>
          <w:szCs w:val="32"/>
        </w:rPr>
      </w:pPr>
      <w:r w:rsidRPr="00443ECB">
        <w:rPr>
          <w:rFonts w:ascii="Anodina Light" w:hAnsi="Anodina Light"/>
          <w:b/>
          <w:bCs/>
          <w:sz w:val="32"/>
          <w:szCs w:val="32"/>
        </w:rPr>
        <w:lastRenderedPageBreak/>
        <w:t>Why this drug or device is innovative, the broad implications for future research, and/or how it will improve the human condition</w:t>
      </w:r>
    </w:p>
    <w:p w14:paraId="56530C6D" w14:textId="11633192" w:rsidR="006C0513" w:rsidRPr="00443ECB" w:rsidRDefault="00B40B60" w:rsidP="006C0513">
      <w:pPr>
        <w:rPr>
          <w:rFonts w:ascii="Anodina Light" w:hAnsi="Anodina Light"/>
        </w:rPr>
      </w:pPr>
      <w:r w:rsidRPr="00443ECB">
        <w:rPr>
          <w:rFonts w:ascii="Anodina Light" w:hAnsi="Anodina Light"/>
          <w:b/>
          <w:bCs/>
        </w:rPr>
        <w:t>Innovation</w:t>
      </w:r>
      <w:r w:rsidR="00592F50" w:rsidRPr="00443ECB">
        <w:rPr>
          <w:rFonts w:ascii="Anodina Light" w:hAnsi="Anodina Light"/>
          <w:b/>
          <w:bCs/>
        </w:rPr>
        <w:t>:</w:t>
      </w:r>
      <w:r w:rsidR="00C10674" w:rsidRPr="00443ECB">
        <w:rPr>
          <w:rFonts w:ascii="Anodina Light" w:hAnsi="Anodina Light"/>
          <w:b/>
          <w:bCs/>
        </w:rPr>
        <w:t xml:space="preserve"> </w:t>
      </w:r>
      <w:r w:rsidR="006C0513" w:rsidRPr="00443ECB">
        <w:rPr>
          <w:rFonts w:ascii="Anodina Light" w:hAnsi="Anodina Light"/>
        </w:rPr>
        <w:t>Now that a targeted therapy like Pemazyre has been approved for CCA, clinicians have an important incentive to</w:t>
      </w:r>
      <w:r w:rsidR="004F6671" w:rsidRPr="00443ECB">
        <w:rPr>
          <w:rFonts w:ascii="Anodina Light" w:hAnsi="Anodina Light"/>
        </w:rPr>
        <w:t xml:space="preserve"> implement routine</w:t>
      </w:r>
      <w:r w:rsidR="006C0513" w:rsidRPr="00443ECB">
        <w:rPr>
          <w:rFonts w:ascii="Anodina Light" w:hAnsi="Anodina Light"/>
        </w:rPr>
        <w:t xml:space="preserve"> use </w:t>
      </w:r>
      <w:r w:rsidR="004F6671" w:rsidRPr="00443ECB">
        <w:rPr>
          <w:rFonts w:ascii="Anodina Light" w:hAnsi="Anodina Light"/>
        </w:rPr>
        <w:t xml:space="preserve">of </w:t>
      </w:r>
      <w:r w:rsidR="002F64C2" w:rsidRPr="00443ECB">
        <w:rPr>
          <w:rFonts w:ascii="Anodina Light" w:hAnsi="Anodina Light"/>
        </w:rPr>
        <w:t xml:space="preserve">molecular testing </w:t>
      </w:r>
      <w:r w:rsidR="006C0513" w:rsidRPr="00443ECB">
        <w:rPr>
          <w:rFonts w:ascii="Anodina Light" w:hAnsi="Anodina Light"/>
        </w:rPr>
        <w:t>during diagnosis</w:t>
      </w:r>
      <w:r w:rsidR="006C0513" w:rsidRPr="00BF1367">
        <w:rPr>
          <w:rFonts w:ascii="Anodina Light" w:hAnsi="Anodina Light"/>
          <w:vertAlign w:val="superscript"/>
        </w:rPr>
        <w:t>.</w:t>
      </w:r>
      <w:r w:rsidR="009614B8">
        <w:rPr>
          <w:rFonts w:ascii="Anodina Light" w:hAnsi="Anodina Light"/>
          <w:vertAlign w:val="superscript"/>
        </w:rPr>
        <w:fldChar w:fldCharType="begin"/>
      </w:r>
      <w:r w:rsidR="009614B8">
        <w:rPr>
          <w:rFonts w:ascii="Anodina Light" w:hAnsi="Anodina Light"/>
          <w:vertAlign w:val="superscript"/>
        </w:rPr>
        <w:instrText xml:space="preserve"> NOTEREF _Ref72917684 \h </w:instrText>
      </w:r>
      <w:r w:rsidR="009614B8">
        <w:rPr>
          <w:rFonts w:ascii="Anodina Light" w:hAnsi="Anodina Light"/>
          <w:vertAlign w:val="superscript"/>
        </w:rPr>
      </w:r>
      <w:r w:rsidR="009614B8">
        <w:rPr>
          <w:rFonts w:ascii="Anodina Light" w:hAnsi="Anodina Light"/>
          <w:vertAlign w:val="superscript"/>
        </w:rPr>
        <w:fldChar w:fldCharType="separate"/>
      </w:r>
      <w:r w:rsidR="009614B8">
        <w:rPr>
          <w:rFonts w:ascii="Anodina Light" w:hAnsi="Anodina Light"/>
          <w:vertAlign w:val="superscript"/>
        </w:rPr>
        <w:t>1</w:t>
      </w:r>
      <w:r w:rsidR="009614B8">
        <w:rPr>
          <w:rFonts w:ascii="Anodina Light" w:hAnsi="Anodina Light"/>
          <w:vertAlign w:val="superscript"/>
        </w:rPr>
        <w:fldChar w:fldCharType="end"/>
      </w:r>
      <w:r w:rsidR="009614B8">
        <w:rPr>
          <w:rFonts w:ascii="Anodina Light" w:hAnsi="Anodina Light"/>
          <w:vertAlign w:val="superscript"/>
        </w:rPr>
        <w:t>,</w:t>
      </w:r>
      <w:r w:rsidR="00BF1367" w:rsidRPr="00BF1367">
        <w:rPr>
          <w:rStyle w:val="EndnoteReference"/>
          <w:rFonts w:ascii="Anodina Light" w:hAnsi="Anodina Light"/>
        </w:rPr>
        <w:endnoteReference w:id="22"/>
      </w:r>
      <w:r w:rsidR="006C0513" w:rsidRPr="00443ECB">
        <w:rPr>
          <w:rFonts w:ascii="Anodina Light" w:hAnsi="Anodina Light"/>
        </w:rPr>
        <w:t xml:space="preserve"> Testing all patients with advanced/metastatic CCA is critical to identifying those with </w:t>
      </w:r>
      <w:r w:rsidR="006C0513" w:rsidRPr="00443ECB">
        <w:rPr>
          <w:rFonts w:ascii="Anodina Light" w:hAnsi="Anodina Light"/>
          <w:i/>
        </w:rPr>
        <w:t>FGFR2</w:t>
      </w:r>
      <w:r w:rsidR="006C0513" w:rsidRPr="00443ECB">
        <w:rPr>
          <w:rFonts w:ascii="Anodina Light" w:hAnsi="Anodina Light"/>
        </w:rPr>
        <w:t xml:space="preserve"> fusions or rearrangements who may benefit from FGFR inhibitor therapy; such testing is recommended by the NCCN Clinical Practice Guidelines in Oncology.</w:t>
      </w:r>
      <w:r w:rsidR="00BF1367" w:rsidRPr="00BF1367">
        <w:rPr>
          <w:rFonts w:ascii="Anodina Light" w:hAnsi="Anodina Light"/>
          <w:vertAlign w:val="superscript"/>
        </w:rPr>
        <w:fldChar w:fldCharType="begin"/>
      </w:r>
      <w:r w:rsidR="00BF1367" w:rsidRPr="00BF1367">
        <w:rPr>
          <w:rFonts w:ascii="Anodina Light" w:hAnsi="Anodina Light"/>
          <w:vertAlign w:val="superscript"/>
        </w:rPr>
        <w:instrText xml:space="preserve"> NOTEREF _Ref72919447 \h </w:instrText>
      </w:r>
      <w:r w:rsidR="00BF1367">
        <w:rPr>
          <w:rFonts w:ascii="Anodina Light" w:hAnsi="Anodina Light"/>
          <w:vertAlign w:val="superscript"/>
        </w:rPr>
        <w:instrText xml:space="preserve"> \* MERGEFORMAT </w:instrText>
      </w:r>
      <w:r w:rsidR="00BF1367" w:rsidRPr="00BF1367">
        <w:rPr>
          <w:rFonts w:ascii="Anodina Light" w:hAnsi="Anodina Light"/>
          <w:vertAlign w:val="superscript"/>
        </w:rPr>
      </w:r>
      <w:r w:rsidR="00BF1367" w:rsidRPr="00BF1367">
        <w:rPr>
          <w:rFonts w:ascii="Anodina Light" w:hAnsi="Anodina Light"/>
          <w:vertAlign w:val="superscript"/>
        </w:rPr>
        <w:fldChar w:fldCharType="separate"/>
      </w:r>
      <w:r w:rsidR="00BF1367" w:rsidRPr="00BF1367">
        <w:rPr>
          <w:rFonts w:ascii="Anodina Light" w:hAnsi="Anodina Light"/>
          <w:vertAlign w:val="superscript"/>
        </w:rPr>
        <w:t>19</w:t>
      </w:r>
      <w:r w:rsidR="00BF1367" w:rsidRPr="00BF1367">
        <w:rPr>
          <w:rFonts w:ascii="Anodina Light" w:hAnsi="Anodina Light"/>
          <w:vertAlign w:val="superscript"/>
        </w:rPr>
        <w:fldChar w:fldCharType="end"/>
      </w:r>
      <w:r w:rsidR="006C0513" w:rsidRPr="00443ECB">
        <w:rPr>
          <w:rFonts w:ascii="Anodina Light" w:hAnsi="Anodina Light"/>
        </w:rPr>
        <w:t xml:space="preserve"> </w:t>
      </w:r>
      <w:proofErr w:type="spellStart"/>
      <w:r w:rsidR="006C0513" w:rsidRPr="00443ECB">
        <w:rPr>
          <w:rFonts w:ascii="Anodina Light" w:hAnsi="Anodina Light"/>
        </w:rPr>
        <w:t>Pemazyre</w:t>
      </w:r>
      <w:proofErr w:type="spellEnd"/>
      <w:r w:rsidR="006C0513" w:rsidRPr="00443ECB">
        <w:rPr>
          <w:rFonts w:ascii="Anodina Light" w:hAnsi="Anodina Light"/>
        </w:rPr>
        <w:t xml:space="preserve"> provide</w:t>
      </w:r>
      <w:r w:rsidR="002F64C2" w:rsidRPr="00443ECB">
        <w:rPr>
          <w:rFonts w:ascii="Anodina Light" w:hAnsi="Anodina Light"/>
        </w:rPr>
        <w:t>s</w:t>
      </w:r>
      <w:r w:rsidR="006C0513" w:rsidRPr="00443ECB">
        <w:rPr>
          <w:rFonts w:ascii="Anodina Light" w:hAnsi="Anodina Light"/>
        </w:rPr>
        <w:t xml:space="preserve"> </w:t>
      </w:r>
      <w:r w:rsidR="004E0515" w:rsidRPr="00443ECB">
        <w:rPr>
          <w:rFonts w:ascii="Anodina Light" w:hAnsi="Anodina Light"/>
        </w:rPr>
        <w:t>the first and only FDA-approved</w:t>
      </w:r>
      <w:r w:rsidR="006C0513" w:rsidRPr="00443ECB">
        <w:rPr>
          <w:rFonts w:ascii="Anodina Light" w:hAnsi="Anodina Light"/>
        </w:rPr>
        <w:t>, individualized treatment option for these patients.</w:t>
      </w:r>
      <w:r w:rsidR="009614B8" w:rsidRPr="009614B8">
        <w:rPr>
          <w:rFonts w:ascii="Anodina Light" w:hAnsi="Anodina Light"/>
          <w:vertAlign w:val="superscript"/>
        </w:rPr>
        <w:fldChar w:fldCharType="begin"/>
      </w:r>
      <w:r w:rsidR="009614B8" w:rsidRPr="009614B8">
        <w:rPr>
          <w:rFonts w:ascii="Anodina Light" w:hAnsi="Anodina Light"/>
          <w:vertAlign w:val="superscript"/>
        </w:rPr>
        <w:instrText xml:space="preserve"> NOTEREF _Ref72917684 \h </w:instrText>
      </w:r>
      <w:r w:rsidR="009614B8">
        <w:rPr>
          <w:rFonts w:ascii="Anodina Light" w:hAnsi="Anodina Light"/>
          <w:vertAlign w:val="superscript"/>
        </w:rPr>
        <w:instrText xml:space="preserve"> \* MERGEFORMAT </w:instrText>
      </w:r>
      <w:r w:rsidR="009614B8" w:rsidRPr="009614B8">
        <w:rPr>
          <w:rFonts w:ascii="Anodina Light" w:hAnsi="Anodina Light"/>
          <w:vertAlign w:val="superscript"/>
        </w:rPr>
      </w:r>
      <w:r w:rsidR="009614B8" w:rsidRPr="009614B8">
        <w:rPr>
          <w:rFonts w:ascii="Anodina Light" w:hAnsi="Anodina Light"/>
          <w:vertAlign w:val="superscript"/>
        </w:rPr>
        <w:fldChar w:fldCharType="separate"/>
      </w:r>
      <w:r w:rsidR="009614B8" w:rsidRPr="009614B8">
        <w:rPr>
          <w:rFonts w:ascii="Anodina Light" w:hAnsi="Anodina Light"/>
          <w:vertAlign w:val="superscript"/>
        </w:rPr>
        <w:t>1</w:t>
      </w:r>
      <w:r w:rsidR="009614B8" w:rsidRPr="009614B8">
        <w:rPr>
          <w:rFonts w:ascii="Anodina Light" w:hAnsi="Anodina Light"/>
          <w:vertAlign w:val="superscript"/>
        </w:rPr>
        <w:fldChar w:fldCharType="end"/>
      </w:r>
      <w:r w:rsidR="009614B8" w:rsidRPr="009614B8">
        <w:rPr>
          <w:rFonts w:ascii="Anodina Light" w:hAnsi="Anodina Light"/>
          <w:vertAlign w:val="superscript"/>
        </w:rPr>
        <w:t>,</w:t>
      </w:r>
      <w:r w:rsidR="00BF1367" w:rsidRPr="009614B8">
        <w:rPr>
          <w:rFonts w:ascii="Anodina Light" w:hAnsi="Anodina Light"/>
          <w:vertAlign w:val="superscript"/>
        </w:rPr>
        <w:fldChar w:fldCharType="begin"/>
      </w:r>
      <w:r w:rsidR="00BF1367" w:rsidRPr="009614B8">
        <w:rPr>
          <w:rFonts w:ascii="Anodina Light" w:hAnsi="Anodina Light"/>
          <w:vertAlign w:val="superscript"/>
        </w:rPr>
        <w:instrText xml:space="preserve"> NOTEREF _Ref72919472 \h  \* MERGEFORMAT </w:instrText>
      </w:r>
      <w:r w:rsidR="00BF1367" w:rsidRPr="009614B8">
        <w:rPr>
          <w:rFonts w:ascii="Anodina Light" w:hAnsi="Anodina Light"/>
          <w:vertAlign w:val="superscript"/>
        </w:rPr>
      </w:r>
      <w:r w:rsidR="00BF1367" w:rsidRPr="009614B8">
        <w:rPr>
          <w:rFonts w:ascii="Anodina Light" w:hAnsi="Anodina Light"/>
          <w:vertAlign w:val="superscript"/>
        </w:rPr>
        <w:fldChar w:fldCharType="separate"/>
      </w:r>
      <w:r w:rsidR="00BF1367" w:rsidRPr="009614B8">
        <w:rPr>
          <w:rFonts w:ascii="Anodina Light" w:hAnsi="Anodina Light"/>
          <w:vertAlign w:val="superscript"/>
        </w:rPr>
        <w:t>21</w:t>
      </w:r>
      <w:r w:rsidR="00BF1367" w:rsidRPr="009614B8">
        <w:rPr>
          <w:rFonts w:ascii="Anodina Light" w:hAnsi="Anodina Light"/>
          <w:vertAlign w:val="superscript"/>
        </w:rPr>
        <w:fldChar w:fldCharType="end"/>
      </w:r>
      <w:r w:rsidR="009614B8">
        <w:rPr>
          <w:rStyle w:val="CommentReference"/>
        </w:rPr>
        <w:t xml:space="preserve"> </w:t>
      </w:r>
    </w:p>
    <w:p w14:paraId="151AD229" w14:textId="566279CF" w:rsidR="002F64C2" w:rsidRPr="00443ECB" w:rsidRDefault="006C0513" w:rsidP="006C0513">
      <w:pPr>
        <w:rPr>
          <w:rFonts w:ascii="Anodina Light" w:hAnsi="Anodina Light"/>
        </w:rPr>
      </w:pPr>
      <w:r w:rsidRPr="00443ECB">
        <w:rPr>
          <w:rFonts w:ascii="Anodina Light" w:hAnsi="Anodina Light"/>
        </w:rPr>
        <w:t xml:space="preserve">In addition to identifying patients with </w:t>
      </w:r>
      <w:r w:rsidRPr="00443ECB">
        <w:rPr>
          <w:rFonts w:ascii="Anodina Light" w:hAnsi="Anodina Light"/>
          <w:i/>
        </w:rPr>
        <w:t>FGFR2</w:t>
      </w:r>
      <w:r w:rsidRPr="00443ECB">
        <w:rPr>
          <w:rFonts w:ascii="Anodina Light" w:hAnsi="Anodina Light"/>
        </w:rPr>
        <w:t xml:space="preserve"> fusions or rearrangements who may benefit from Pemazyre treatment, </w:t>
      </w:r>
      <w:r w:rsidR="002F64C2" w:rsidRPr="00443ECB">
        <w:rPr>
          <w:rFonts w:ascii="Anodina Light" w:hAnsi="Anodina Light"/>
        </w:rPr>
        <w:t xml:space="preserve">an increased use of molecular testing in patients with CCA </w:t>
      </w:r>
      <w:r w:rsidRPr="00443ECB">
        <w:rPr>
          <w:rFonts w:ascii="Anodina Light" w:hAnsi="Anodina Light"/>
        </w:rPr>
        <w:t>may also i</w:t>
      </w:r>
      <w:r w:rsidR="002F64C2" w:rsidRPr="00443ECB">
        <w:rPr>
          <w:rFonts w:ascii="Anodina Light" w:hAnsi="Anodina Light"/>
        </w:rPr>
        <w:t>dentify those who might benefit from other investigational interventions</w:t>
      </w:r>
      <w:r w:rsidR="00954355" w:rsidRPr="00443ECB">
        <w:rPr>
          <w:rFonts w:ascii="Anodina Light" w:hAnsi="Anodina Light"/>
        </w:rPr>
        <w:t xml:space="preserve"> in clinical trials</w:t>
      </w:r>
      <w:r w:rsidR="002F64C2" w:rsidRPr="00443ECB">
        <w:rPr>
          <w:rFonts w:ascii="Anodina Light" w:hAnsi="Anodina Light"/>
        </w:rPr>
        <w:t>.</w:t>
      </w:r>
    </w:p>
    <w:p w14:paraId="165C4346" w14:textId="5D4C55B1" w:rsidR="00A60D94" w:rsidRPr="00443ECB" w:rsidRDefault="00EC3BFE" w:rsidP="003D02D8">
      <w:pPr>
        <w:rPr>
          <w:rFonts w:ascii="Anodina Light" w:hAnsi="Anodina Light"/>
        </w:rPr>
      </w:pPr>
      <w:bookmarkStart w:id="11" w:name="_Hlk72403214"/>
      <w:r w:rsidRPr="00443ECB">
        <w:rPr>
          <w:rFonts w:ascii="Anodina Light" w:hAnsi="Anodina Light"/>
        </w:rPr>
        <w:t>Pemazyre</w:t>
      </w:r>
      <w:r w:rsidR="005E0FB4" w:rsidRPr="00443ECB">
        <w:rPr>
          <w:rFonts w:ascii="Anodina Light" w:hAnsi="Anodina Light"/>
        </w:rPr>
        <w:t xml:space="preserve"> – </w:t>
      </w:r>
      <w:r w:rsidR="006C0513" w:rsidRPr="00443ECB">
        <w:rPr>
          <w:rFonts w:ascii="Anodina Light" w:hAnsi="Anodina Light"/>
        </w:rPr>
        <w:t xml:space="preserve">the first and only FDA-approved treatment for adults with previously treated, unresectable locally advanced or metastatic CCA with a </w:t>
      </w:r>
      <w:r w:rsidR="006C0513" w:rsidRPr="00443ECB">
        <w:rPr>
          <w:rFonts w:ascii="Anodina Light" w:hAnsi="Anodina Light"/>
          <w:i/>
        </w:rPr>
        <w:t>FGFR2</w:t>
      </w:r>
      <w:r w:rsidR="006C0513" w:rsidRPr="00443ECB">
        <w:rPr>
          <w:rFonts w:ascii="Anodina Light" w:hAnsi="Anodina Light"/>
        </w:rPr>
        <w:t xml:space="preserve"> fusion or other rearrangement</w:t>
      </w:r>
      <w:r w:rsidR="00BF1367" w:rsidRPr="00BF1367">
        <w:rPr>
          <w:rFonts w:ascii="Anodina Light" w:hAnsi="Anodina Light"/>
          <w:vertAlign w:val="superscript"/>
        </w:rPr>
        <w:fldChar w:fldCharType="begin"/>
      </w:r>
      <w:r w:rsidR="00BF1367" w:rsidRPr="00BF1367">
        <w:rPr>
          <w:rFonts w:ascii="Anodina Light" w:hAnsi="Anodina Light"/>
          <w:vertAlign w:val="superscript"/>
        </w:rPr>
        <w:instrText xml:space="preserve"> NOTEREF _Ref72917684 \h </w:instrText>
      </w:r>
      <w:r w:rsidR="00BF1367">
        <w:rPr>
          <w:rFonts w:ascii="Anodina Light" w:hAnsi="Anodina Light"/>
          <w:vertAlign w:val="superscript"/>
        </w:rPr>
        <w:instrText xml:space="preserve"> \* MERGEFORMAT </w:instrText>
      </w:r>
      <w:r w:rsidR="00BF1367" w:rsidRPr="00BF1367">
        <w:rPr>
          <w:rFonts w:ascii="Anodina Light" w:hAnsi="Anodina Light"/>
          <w:vertAlign w:val="superscript"/>
        </w:rPr>
      </w:r>
      <w:r w:rsidR="00BF1367" w:rsidRPr="00BF1367">
        <w:rPr>
          <w:rFonts w:ascii="Anodina Light" w:hAnsi="Anodina Light"/>
          <w:vertAlign w:val="superscript"/>
        </w:rPr>
        <w:fldChar w:fldCharType="separate"/>
      </w:r>
      <w:r w:rsidR="00BF1367" w:rsidRPr="00BF1367">
        <w:rPr>
          <w:rFonts w:ascii="Anodina Light" w:hAnsi="Anodina Light"/>
          <w:vertAlign w:val="superscript"/>
        </w:rPr>
        <w:t>1</w:t>
      </w:r>
      <w:r w:rsidR="00BF1367" w:rsidRPr="00BF1367">
        <w:rPr>
          <w:rFonts w:ascii="Anodina Light" w:hAnsi="Anodina Light"/>
          <w:vertAlign w:val="superscript"/>
        </w:rPr>
        <w:fldChar w:fldCharType="end"/>
      </w:r>
      <w:r w:rsidR="006C0513" w:rsidRPr="00443ECB">
        <w:rPr>
          <w:rFonts w:ascii="Anodina Light" w:hAnsi="Anodina Light"/>
        </w:rPr>
        <w:t xml:space="preserve"> – is also </w:t>
      </w:r>
      <w:r w:rsidR="00DC07DE" w:rsidRPr="00443ECB">
        <w:rPr>
          <w:rFonts w:ascii="Anodina Light" w:hAnsi="Anodina Light"/>
        </w:rPr>
        <w:t xml:space="preserve">the first internally discovered product to be </w:t>
      </w:r>
      <w:r w:rsidR="006C0513" w:rsidRPr="00443ECB">
        <w:rPr>
          <w:rFonts w:ascii="Anodina Light" w:hAnsi="Anodina Light"/>
        </w:rPr>
        <w:t xml:space="preserve">commercialized </w:t>
      </w:r>
      <w:r w:rsidR="00DC07DE" w:rsidRPr="00443ECB">
        <w:rPr>
          <w:rFonts w:ascii="Anodina Light" w:hAnsi="Anodina Light"/>
        </w:rPr>
        <w:t>globally by Incyte</w:t>
      </w:r>
      <w:r w:rsidR="00341C66" w:rsidRPr="00443ECB">
        <w:rPr>
          <w:rFonts w:ascii="Anodina Light" w:hAnsi="Anodina Light"/>
        </w:rPr>
        <w:t>.</w:t>
      </w:r>
      <w:r w:rsidR="00BF1367" w:rsidRPr="00BF1367">
        <w:rPr>
          <w:rFonts w:ascii="Anodina Light" w:hAnsi="Anodina Light"/>
          <w:vertAlign w:val="superscript"/>
        </w:rPr>
        <w:fldChar w:fldCharType="begin"/>
      </w:r>
      <w:r w:rsidR="00BF1367" w:rsidRPr="00BF1367">
        <w:rPr>
          <w:rFonts w:ascii="Anodina Light" w:hAnsi="Anodina Light"/>
          <w:vertAlign w:val="superscript"/>
        </w:rPr>
        <w:instrText xml:space="preserve"> NOTEREF _Ref72919472 \h  \* MERGEFORMAT </w:instrText>
      </w:r>
      <w:r w:rsidR="00BF1367" w:rsidRPr="00BF1367">
        <w:rPr>
          <w:rFonts w:ascii="Anodina Light" w:hAnsi="Anodina Light"/>
          <w:vertAlign w:val="superscript"/>
        </w:rPr>
      </w:r>
      <w:r w:rsidR="00BF1367" w:rsidRPr="00BF1367">
        <w:rPr>
          <w:rFonts w:ascii="Anodina Light" w:hAnsi="Anodina Light"/>
          <w:vertAlign w:val="superscript"/>
        </w:rPr>
        <w:fldChar w:fldCharType="separate"/>
      </w:r>
      <w:r w:rsidR="00BF1367" w:rsidRPr="00BF1367">
        <w:rPr>
          <w:rFonts w:ascii="Anodina Light" w:hAnsi="Anodina Light"/>
          <w:vertAlign w:val="superscript"/>
        </w:rPr>
        <w:t>21</w:t>
      </w:r>
      <w:r w:rsidR="00BF1367" w:rsidRPr="00BF1367">
        <w:rPr>
          <w:rFonts w:ascii="Anodina Light" w:hAnsi="Anodina Light"/>
          <w:vertAlign w:val="superscript"/>
        </w:rPr>
        <w:fldChar w:fldCharType="end"/>
      </w:r>
      <w:r w:rsidR="008E1F95" w:rsidRPr="00443ECB">
        <w:rPr>
          <w:rFonts w:ascii="Anodina Light" w:hAnsi="Anodina Light"/>
        </w:rPr>
        <w:t xml:space="preserve"> </w:t>
      </w:r>
      <w:r w:rsidR="00954355" w:rsidRPr="00443ECB">
        <w:rPr>
          <w:rFonts w:ascii="Anodina Light" w:hAnsi="Anodina Light"/>
        </w:rPr>
        <w:t>To investigate t</w:t>
      </w:r>
      <w:r w:rsidR="00A60D94" w:rsidRPr="00443ECB">
        <w:rPr>
          <w:rFonts w:ascii="Anodina Light" w:hAnsi="Anodina Light"/>
        </w:rPr>
        <w:t>he potential of</w:t>
      </w:r>
      <w:r w:rsidR="00F34A35" w:rsidRPr="00443ECB">
        <w:rPr>
          <w:rFonts w:ascii="Anodina Light" w:hAnsi="Anodina Light"/>
        </w:rPr>
        <w:t xml:space="preserve"> </w:t>
      </w:r>
      <w:r w:rsidR="000C71C0" w:rsidRPr="00443ECB">
        <w:rPr>
          <w:rFonts w:ascii="Anodina Light" w:hAnsi="Anodina Light"/>
        </w:rPr>
        <w:t>Pemazyre</w:t>
      </w:r>
      <w:r w:rsidR="00F34A35" w:rsidRPr="00443ECB">
        <w:rPr>
          <w:rFonts w:ascii="Anodina Light" w:hAnsi="Anodina Light"/>
        </w:rPr>
        <w:t xml:space="preserve"> beyond its current indication</w:t>
      </w:r>
      <w:r w:rsidR="00954355" w:rsidRPr="00443ECB">
        <w:rPr>
          <w:rFonts w:ascii="Anodina Light" w:hAnsi="Anodina Light"/>
        </w:rPr>
        <w:t xml:space="preserve">, </w:t>
      </w:r>
      <w:r w:rsidR="00F34A35" w:rsidRPr="00443ECB">
        <w:rPr>
          <w:rFonts w:ascii="Anodina Light" w:hAnsi="Anodina Light"/>
        </w:rPr>
        <w:t xml:space="preserve">multiple </w:t>
      </w:r>
      <w:r w:rsidR="00E93636" w:rsidRPr="00443ECB">
        <w:rPr>
          <w:rFonts w:ascii="Anodina Light" w:hAnsi="Anodina Light"/>
        </w:rPr>
        <w:t xml:space="preserve">Phase 2 and 3 studies </w:t>
      </w:r>
      <w:r w:rsidR="00954355" w:rsidRPr="00443ECB">
        <w:rPr>
          <w:rFonts w:ascii="Anodina Light" w:hAnsi="Anodina Light"/>
        </w:rPr>
        <w:t xml:space="preserve">are ongoing </w:t>
      </w:r>
      <w:r w:rsidR="00E93636" w:rsidRPr="00443ECB">
        <w:rPr>
          <w:rFonts w:ascii="Anodina Light" w:hAnsi="Anodina Light"/>
        </w:rPr>
        <w:t>through the FIGHT (</w:t>
      </w:r>
      <w:proofErr w:type="spellStart"/>
      <w:r w:rsidR="00E93636" w:rsidRPr="00443ECB">
        <w:rPr>
          <w:rFonts w:ascii="Anodina Light" w:hAnsi="Anodina Light"/>
          <w:b/>
          <w:bCs/>
        </w:rPr>
        <w:t>FI</w:t>
      </w:r>
      <w:r w:rsidR="00E93636" w:rsidRPr="00443ECB">
        <w:rPr>
          <w:rFonts w:ascii="Anodina Light" w:hAnsi="Anodina Light"/>
        </w:rPr>
        <w:t>broblast</w:t>
      </w:r>
      <w:proofErr w:type="spellEnd"/>
      <w:r w:rsidR="00E93636" w:rsidRPr="00443ECB">
        <w:rPr>
          <w:rFonts w:ascii="Anodina Light" w:hAnsi="Anodina Light"/>
        </w:rPr>
        <w:t xml:space="preserve"> </w:t>
      </w:r>
      <w:r w:rsidR="00E93636" w:rsidRPr="00443ECB">
        <w:rPr>
          <w:rFonts w:ascii="Anodina Light" w:hAnsi="Anodina Light"/>
          <w:b/>
          <w:bCs/>
        </w:rPr>
        <w:t>G</w:t>
      </w:r>
      <w:r w:rsidR="00E93636" w:rsidRPr="00443ECB">
        <w:rPr>
          <w:rFonts w:ascii="Anodina Light" w:hAnsi="Anodina Light"/>
        </w:rPr>
        <w:t xml:space="preserve">rowth factor receptor in oncology and </w:t>
      </w:r>
      <w:r w:rsidR="00E93636" w:rsidRPr="00443ECB">
        <w:rPr>
          <w:rFonts w:ascii="Anodina Light" w:hAnsi="Anodina Light"/>
          <w:b/>
          <w:bCs/>
        </w:rPr>
        <w:t>H</w:t>
      </w:r>
      <w:r w:rsidR="00E93636" w:rsidRPr="00443ECB">
        <w:rPr>
          <w:rFonts w:ascii="Anodina Light" w:hAnsi="Anodina Light"/>
        </w:rPr>
        <w:t xml:space="preserve">ematology </w:t>
      </w:r>
      <w:r w:rsidR="00E93636" w:rsidRPr="00443ECB">
        <w:rPr>
          <w:rFonts w:ascii="Anodina Light" w:hAnsi="Anodina Light"/>
          <w:b/>
          <w:bCs/>
        </w:rPr>
        <w:t>T</w:t>
      </w:r>
      <w:r w:rsidR="00E93636" w:rsidRPr="00443ECB">
        <w:rPr>
          <w:rFonts w:ascii="Anodina Light" w:hAnsi="Anodina Light"/>
        </w:rPr>
        <w:t>rials) program</w:t>
      </w:r>
      <w:r w:rsidR="002F64C2" w:rsidRPr="00443ECB">
        <w:rPr>
          <w:rFonts w:ascii="Anodina Light" w:hAnsi="Anodina Light"/>
        </w:rPr>
        <w:t>, evaluating the use of Pemazyre in</w:t>
      </w:r>
      <w:r w:rsidR="00954355" w:rsidRPr="00443ECB">
        <w:rPr>
          <w:rFonts w:ascii="Anodina Light" w:hAnsi="Anodina Light"/>
        </w:rPr>
        <w:t>:</w:t>
      </w:r>
      <w:r w:rsidR="002F64C2" w:rsidRPr="00443ECB">
        <w:rPr>
          <w:rFonts w:ascii="Anodina Light" w:hAnsi="Anodina Light"/>
        </w:rPr>
        <w:t xml:space="preserve"> </w:t>
      </w:r>
      <w:r w:rsidR="00A60D94" w:rsidRPr="00443ECB">
        <w:rPr>
          <w:rFonts w:ascii="Anodina Light" w:hAnsi="Anodina Light"/>
        </w:rPr>
        <w:t>first</w:t>
      </w:r>
      <w:r w:rsidR="0077079F" w:rsidRPr="00443ECB">
        <w:rPr>
          <w:rFonts w:ascii="Anodina Light" w:hAnsi="Anodina Light"/>
        </w:rPr>
        <w:t>-</w:t>
      </w:r>
      <w:r w:rsidR="00A60D94" w:rsidRPr="00443ECB">
        <w:rPr>
          <w:rFonts w:ascii="Anodina Light" w:hAnsi="Anodina Light"/>
        </w:rPr>
        <w:t>line CCA</w:t>
      </w:r>
      <w:r w:rsidR="000E128F" w:rsidRPr="00443ECB">
        <w:rPr>
          <w:rFonts w:ascii="Anodina Light" w:hAnsi="Anodina Light"/>
        </w:rPr>
        <w:t xml:space="preserve"> with </w:t>
      </w:r>
      <w:r w:rsidR="000E128F" w:rsidRPr="00443ECB">
        <w:rPr>
          <w:rFonts w:ascii="Anodina Light" w:hAnsi="Anodina Light"/>
          <w:i/>
        </w:rPr>
        <w:t>FGFR2</w:t>
      </w:r>
      <w:r w:rsidR="000E128F" w:rsidRPr="00443ECB">
        <w:rPr>
          <w:rFonts w:ascii="Anodina Light" w:hAnsi="Anodina Light"/>
        </w:rPr>
        <w:t xml:space="preserve"> fusions/rearrangements</w:t>
      </w:r>
      <w:r w:rsidR="00954355" w:rsidRPr="00443ECB">
        <w:rPr>
          <w:rFonts w:ascii="Anodina Light" w:hAnsi="Anodina Light"/>
        </w:rPr>
        <w:t xml:space="preserve">; </w:t>
      </w:r>
      <w:r w:rsidR="00A60D94" w:rsidRPr="00443ECB">
        <w:rPr>
          <w:rFonts w:ascii="Anodina Light" w:hAnsi="Anodina Light"/>
        </w:rPr>
        <w:t>myeloid/lymphoid neopla</w:t>
      </w:r>
      <w:r w:rsidR="004515C8" w:rsidRPr="00443ECB">
        <w:rPr>
          <w:rFonts w:ascii="Anodina Light" w:hAnsi="Anodina Light"/>
        </w:rPr>
        <w:t>s</w:t>
      </w:r>
      <w:r w:rsidR="00A60D94" w:rsidRPr="00443ECB">
        <w:rPr>
          <w:rFonts w:ascii="Anodina Light" w:hAnsi="Anodina Light"/>
        </w:rPr>
        <w:t>ms</w:t>
      </w:r>
      <w:r w:rsidR="00987F8F" w:rsidRPr="00443ECB">
        <w:rPr>
          <w:rFonts w:ascii="Anodina Light" w:hAnsi="Anodina Light"/>
        </w:rPr>
        <w:t xml:space="preserve"> with eosinophilia and </w:t>
      </w:r>
      <w:r w:rsidR="00987F8F" w:rsidRPr="00443ECB">
        <w:rPr>
          <w:rFonts w:ascii="Anodina Light" w:hAnsi="Anodina Light"/>
          <w:i/>
        </w:rPr>
        <w:t>FGFR1</w:t>
      </w:r>
      <w:r w:rsidR="00987F8F" w:rsidRPr="00443ECB">
        <w:rPr>
          <w:rFonts w:ascii="Anodina Light" w:hAnsi="Anodina Light"/>
        </w:rPr>
        <w:t xml:space="preserve"> gene rearrangement</w:t>
      </w:r>
      <w:r w:rsidR="00954355" w:rsidRPr="00443ECB">
        <w:rPr>
          <w:rFonts w:ascii="Anodina Light" w:hAnsi="Anodina Light"/>
        </w:rPr>
        <w:t xml:space="preserve">; </w:t>
      </w:r>
      <w:r w:rsidR="00A60D94" w:rsidRPr="00443ECB">
        <w:rPr>
          <w:rFonts w:ascii="Anodina Light" w:hAnsi="Anodina Light"/>
        </w:rPr>
        <w:t>and</w:t>
      </w:r>
      <w:r w:rsidR="00954355" w:rsidRPr="00443ECB">
        <w:rPr>
          <w:rFonts w:ascii="Anodina Light" w:hAnsi="Anodina Light"/>
        </w:rPr>
        <w:t>,</w:t>
      </w:r>
      <w:r w:rsidR="00A60D94" w:rsidRPr="00443ECB">
        <w:rPr>
          <w:rFonts w:ascii="Anodina Light" w:hAnsi="Anodina Light"/>
        </w:rPr>
        <w:t xml:space="preserve"> other </w:t>
      </w:r>
      <w:r w:rsidR="00954355" w:rsidRPr="00443ECB">
        <w:rPr>
          <w:rFonts w:ascii="Anodina Light" w:hAnsi="Anodina Light"/>
        </w:rPr>
        <w:t xml:space="preserve">advanced </w:t>
      </w:r>
      <w:r w:rsidR="00A60D94" w:rsidRPr="00443ECB">
        <w:rPr>
          <w:rFonts w:ascii="Anodina Light" w:hAnsi="Anodina Light"/>
        </w:rPr>
        <w:t>malignancies</w:t>
      </w:r>
      <w:r w:rsidR="008B26AB" w:rsidRPr="00443ECB">
        <w:rPr>
          <w:rFonts w:ascii="Anodina Light" w:hAnsi="Anodina Light"/>
        </w:rPr>
        <w:t xml:space="preserve"> </w:t>
      </w:r>
      <w:r w:rsidR="002F64C2" w:rsidRPr="00443ECB">
        <w:rPr>
          <w:rFonts w:ascii="Anodina Light" w:hAnsi="Anodina Light"/>
        </w:rPr>
        <w:t xml:space="preserve">with </w:t>
      </w:r>
      <w:r w:rsidR="008B26AB" w:rsidRPr="00443ECB">
        <w:rPr>
          <w:rFonts w:ascii="Anodina Light" w:hAnsi="Anodina Light"/>
        </w:rPr>
        <w:t>FGFR</w:t>
      </w:r>
      <w:r w:rsidR="00987F8F" w:rsidRPr="00443ECB">
        <w:rPr>
          <w:rFonts w:ascii="Anodina Light" w:hAnsi="Anodina Light"/>
        </w:rPr>
        <w:t>1/2/3</w:t>
      </w:r>
      <w:r w:rsidR="008B26AB" w:rsidRPr="00443ECB">
        <w:rPr>
          <w:rFonts w:ascii="Anodina Light" w:hAnsi="Anodina Light"/>
        </w:rPr>
        <w:t xml:space="preserve"> gene alterations</w:t>
      </w:r>
      <w:r w:rsidR="00A60D94" w:rsidRPr="00443ECB">
        <w:rPr>
          <w:rFonts w:ascii="Anodina Light" w:hAnsi="Anodina Light"/>
        </w:rPr>
        <w:t>.</w:t>
      </w:r>
      <w:r w:rsidR="00BF1367">
        <w:rPr>
          <w:rStyle w:val="EndnoteReference"/>
          <w:rFonts w:ascii="Anodina Light" w:hAnsi="Anodina Light"/>
        </w:rPr>
        <w:endnoteReference w:id="23"/>
      </w:r>
      <w:r w:rsidR="004515C8" w:rsidRPr="00443ECB">
        <w:rPr>
          <w:rFonts w:ascii="Anodina Light" w:hAnsi="Anodina Light"/>
        </w:rPr>
        <w:t xml:space="preserve"> </w:t>
      </w:r>
      <w:r w:rsidR="00A60D94" w:rsidRPr="00443ECB">
        <w:rPr>
          <w:rFonts w:ascii="Anodina Light" w:hAnsi="Anodina Light"/>
        </w:rPr>
        <w:t>The hope is that this research</w:t>
      </w:r>
      <w:r w:rsidR="00DC07DE" w:rsidRPr="00443ECB">
        <w:rPr>
          <w:rFonts w:ascii="Anodina Light" w:hAnsi="Anodina Light"/>
        </w:rPr>
        <w:t xml:space="preserve"> </w:t>
      </w:r>
      <w:r w:rsidR="00A60D94" w:rsidRPr="00443ECB">
        <w:rPr>
          <w:rFonts w:ascii="Anodina Light" w:hAnsi="Anodina Light"/>
        </w:rPr>
        <w:t>provide</w:t>
      </w:r>
      <w:r w:rsidR="00DC07DE" w:rsidRPr="00443ECB">
        <w:rPr>
          <w:rFonts w:ascii="Anodina Light" w:hAnsi="Anodina Light"/>
        </w:rPr>
        <w:t>s</w:t>
      </w:r>
      <w:r w:rsidR="00A60D94" w:rsidRPr="00443ECB">
        <w:rPr>
          <w:rFonts w:ascii="Anodina Light" w:hAnsi="Anodina Light"/>
        </w:rPr>
        <w:t xml:space="preserve"> </w:t>
      </w:r>
      <w:r w:rsidR="00954355" w:rsidRPr="00443ECB">
        <w:rPr>
          <w:rFonts w:ascii="Anodina Light" w:hAnsi="Anodina Light"/>
        </w:rPr>
        <w:t xml:space="preserve">further </w:t>
      </w:r>
      <w:r w:rsidR="00A60D94" w:rsidRPr="00443ECB">
        <w:rPr>
          <w:rFonts w:ascii="Anodina Light" w:hAnsi="Anodina Light"/>
        </w:rPr>
        <w:t>insight</w:t>
      </w:r>
      <w:r w:rsidR="00954355" w:rsidRPr="00443ECB">
        <w:rPr>
          <w:rFonts w:ascii="Anodina Light" w:hAnsi="Anodina Light"/>
        </w:rPr>
        <w:t>s</w:t>
      </w:r>
      <w:r w:rsidR="00A60D94" w:rsidRPr="00443ECB">
        <w:rPr>
          <w:rFonts w:ascii="Anodina Light" w:hAnsi="Anodina Light"/>
        </w:rPr>
        <w:t xml:space="preserve"> </w:t>
      </w:r>
      <w:r w:rsidR="00954355" w:rsidRPr="00443ECB">
        <w:rPr>
          <w:rFonts w:ascii="Anodina Light" w:hAnsi="Anodina Light"/>
        </w:rPr>
        <w:t xml:space="preserve">into </w:t>
      </w:r>
      <w:r w:rsidR="00A60D94" w:rsidRPr="00443ECB">
        <w:rPr>
          <w:rFonts w:ascii="Anodina Light" w:hAnsi="Anodina Light"/>
        </w:rPr>
        <w:t>the science of FGFR and its role as a tumorigenic driver in an array of cancers</w:t>
      </w:r>
      <w:r w:rsidR="004515C8" w:rsidRPr="00443ECB">
        <w:rPr>
          <w:rFonts w:ascii="Anodina Light" w:hAnsi="Anodina Light"/>
        </w:rPr>
        <w:t xml:space="preserve"> to help pave the way for future therapeutic advances.</w:t>
      </w:r>
      <w:r w:rsidR="00FB6CC9" w:rsidRPr="00443ECB" w:rsidDel="00FB6CC9">
        <w:rPr>
          <w:rStyle w:val="EndnoteReference"/>
          <w:rFonts w:ascii="Anodina Light" w:hAnsi="Anodina Light"/>
        </w:rPr>
        <w:t xml:space="preserve"> </w:t>
      </w:r>
    </w:p>
    <w:bookmarkEnd w:id="11"/>
    <w:p w14:paraId="6E01558C" w14:textId="14386F96" w:rsidR="00592F50" w:rsidRPr="00443ECB" w:rsidRDefault="001277F6" w:rsidP="00592F50">
      <w:pPr>
        <w:rPr>
          <w:rFonts w:ascii="Anodina Light" w:hAnsi="Anodina Light"/>
          <w:b/>
          <w:bCs/>
          <w:sz w:val="32"/>
          <w:szCs w:val="32"/>
        </w:rPr>
      </w:pPr>
      <w:proofErr w:type="spellStart"/>
      <w:r>
        <w:rPr>
          <w:rFonts w:ascii="Anodina Light" w:hAnsi="Anodina Light"/>
          <w:b/>
          <w:bCs/>
          <w:sz w:val="32"/>
          <w:szCs w:val="32"/>
        </w:rPr>
        <w:t>Pubmed</w:t>
      </w:r>
      <w:proofErr w:type="spellEnd"/>
      <w:r>
        <w:rPr>
          <w:rFonts w:ascii="Anodina Light" w:hAnsi="Anodina Light"/>
          <w:b/>
          <w:bCs/>
          <w:sz w:val="32"/>
          <w:szCs w:val="32"/>
        </w:rPr>
        <w:t xml:space="preserve"> references/</w:t>
      </w:r>
      <w:bookmarkStart w:id="12" w:name="_GoBack"/>
      <w:bookmarkEnd w:id="12"/>
      <w:r w:rsidR="00B40B60" w:rsidRPr="00443ECB">
        <w:rPr>
          <w:rFonts w:ascii="Anodina Light" w:hAnsi="Anodina Light"/>
          <w:b/>
          <w:bCs/>
          <w:sz w:val="32"/>
          <w:szCs w:val="32"/>
        </w:rPr>
        <w:t>links</w:t>
      </w:r>
    </w:p>
    <w:p w14:paraId="400650BE" w14:textId="70BA7B22" w:rsidR="00341C66" w:rsidRPr="00443ECB" w:rsidRDefault="007D5393" w:rsidP="007D5393">
      <w:pPr>
        <w:rPr>
          <w:rFonts w:ascii="Anodina Light" w:hAnsi="Anodina Light" w:cs="Arial"/>
        </w:rPr>
      </w:pPr>
      <w:r w:rsidRPr="00443ECB">
        <w:rPr>
          <w:rFonts w:ascii="Anodina Light" w:hAnsi="Anodina Light"/>
        </w:rPr>
        <w:t>Referenced via endnotes below</w:t>
      </w:r>
      <w:bookmarkEnd w:id="0"/>
    </w:p>
    <w:sectPr w:rsidR="00341C66" w:rsidRPr="00443ECB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ADEFC" w14:textId="77777777" w:rsidR="008202EE" w:rsidRDefault="008202EE" w:rsidP="00947623">
      <w:pPr>
        <w:spacing w:after="0" w:line="240" w:lineRule="auto"/>
      </w:pPr>
      <w:r>
        <w:separator/>
      </w:r>
    </w:p>
  </w:endnote>
  <w:endnote w:type="continuationSeparator" w:id="0">
    <w:p w14:paraId="393BADC7" w14:textId="77777777" w:rsidR="008202EE" w:rsidRDefault="008202EE" w:rsidP="00947623">
      <w:pPr>
        <w:spacing w:after="0" w:line="240" w:lineRule="auto"/>
      </w:pPr>
      <w:r>
        <w:continuationSeparator/>
      </w:r>
    </w:p>
  </w:endnote>
  <w:endnote w:id="1">
    <w:p w14:paraId="25FA4FE8" w14:textId="5BE84D69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r w:rsidR="00CD49AC">
        <w:rPr>
          <w:rFonts w:ascii="Anodina Light" w:hAnsi="Anodina Light"/>
        </w:rPr>
        <w:t xml:space="preserve">Pemazyre™ (pemigatinib) Full Prescribing Information. U.S. Food and Drug Administration. Available at: </w:t>
      </w:r>
      <w:hyperlink r:id="rId1" w:history="1">
        <w:r w:rsidR="00CD49AC" w:rsidRPr="00CD49AC">
          <w:rPr>
            <w:rStyle w:val="Hyperlink"/>
            <w:rFonts w:ascii="Anodina Light" w:hAnsi="Anodina Light"/>
          </w:rPr>
          <w:t>https://www.accessdata.fda.gov/drugsatfda_docs/label/2020/213736s000lbl.pdf</w:t>
        </w:r>
      </w:hyperlink>
    </w:p>
  </w:endnote>
  <w:endnote w:id="2">
    <w:p w14:paraId="42B48EA9" w14:textId="31DF6110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Florio AA, et al. Global trends in intrahepatic and extrahepatic cholangiocarcinoma incidence from 1993 to 2012. Cancer </w:t>
      </w:r>
      <w:proofErr w:type="gramStart"/>
      <w:r w:rsidRPr="00BF1367">
        <w:rPr>
          <w:rFonts w:ascii="Anodina Light" w:hAnsi="Anodina Light"/>
        </w:rPr>
        <w:t>2020;126:2666</w:t>
      </w:r>
      <w:proofErr w:type="gramEnd"/>
      <w:r w:rsidRPr="00BF1367">
        <w:rPr>
          <w:rFonts w:ascii="Anodina Light" w:hAnsi="Anodina Light"/>
        </w:rPr>
        <w:t>-2678.</w:t>
      </w:r>
      <w:r w:rsidR="00BF1367">
        <w:rPr>
          <w:rFonts w:ascii="Anodina Light" w:hAnsi="Anodina Light"/>
        </w:rPr>
        <w:t xml:space="preserve"> Available at: </w:t>
      </w:r>
      <w:hyperlink r:id="rId2" w:history="1">
        <w:r w:rsidR="00BF1367" w:rsidRPr="003A5973">
          <w:rPr>
            <w:rStyle w:val="Hyperlink"/>
            <w:rFonts w:ascii="Anodina Light" w:hAnsi="Anodina Light"/>
          </w:rPr>
          <w:t>https://pubmed.ncbi.nlm.nih.gov/32129902/</w:t>
        </w:r>
      </w:hyperlink>
      <w:r w:rsidR="00BF1367">
        <w:rPr>
          <w:rFonts w:ascii="Anodina Light" w:hAnsi="Anodina Light"/>
        </w:rPr>
        <w:t xml:space="preserve"> </w:t>
      </w:r>
    </w:p>
  </w:endnote>
  <w:endnote w:id="3">
    <w:p w14:paraId="0D3ABBFA" w14:textId="77C373E0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Mukkamalla</w:t>
      </w:r>
      <w:proofErr w:type="spellEnd"/>
      <w:r w:rsidRPr="00BF1367">
        <w:rPr>
          <w:rFonts w:ascii="Anodina Light" w:hAnsi="Anodina Light"/>
        </w:rPr>
        <w:t xml:space="preserve"> SKR, et al. Trends in incidence and factors affecting survival of patients with cholangiocarcinoma in the United States. J Natl </w:t>
      </w:r>
      <w:proofErr w:type="spellStart"/>
      <w:r w:rsidRPr="00BF1367">
        <w:rPr>
          <w:rFonts w:ascii="Anodina Light" w:hAnsi="Anodina Light"/>
        </w:rPr>
        <w:t>Compr</w:t>
      </w:r>
      <w:proofErr w:type="spellEnd"/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Canc</w:t>
      </w:r>
      <w:proofErr w:type="spellEnd"/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Netw</w:t>
      </w:r>
      <w:proofErr w:type="spellEnd"/>
      <w:r w:rsidRPr="00BF1367">
        <w:rPr>
          <w:rFonts w:ascii="Anodina Light" w:hAnsi="Anodina Light"/>
        </w:rPr>
        <w:t xml:space="preserve"> </w:t>
      </w:r>
      <w:proofErr w:type="gramStart"/>
      <w:r w:rsidRPr="00BF1367">
        <w:rPr>
          <w:rFonts w:ascii="Anodina Light" w:hAnsi="Anodina Light"/>
        </w:rPr>
        <w:t>2018;16:370</w:t>
      </w:r>
      <w:proofErr w:type="gramEnd"/>
      <w:r w:rsidRPr="00BF1367">
        <w:rPr>
          <w:rFonts w:ascii="Anodina Light" w:hAnsi="Anodina Light"/>
        </w:rPr>
        <w:t>-376.</w:t>
      </w:r>
      <w:r w:rsidR="00BF1367">
        <w:rPr>
          <w:rFonts w:ascii="Anodina Light" w:hAnsi="Anodina Light"/>
        </w:rPr>
        <w:t xml:space="preserve"> Available at: </w:t>
      </w:r>
      <w:hyperlink r:id="rId3" w:history="1">
        <w:r w:rsidR="00BF1367" w:rsidRPr="003A5973">
          <w:rPr>
            <w:rStyle w:val="Hyperlink"/>
            <w:rFonts w:ascii="Anodina Light" w:hAnsi="Anodina Light"/>
          </w:rPr>
          <w:t>https://pubmed.ncbi.nlm.nih.gov/29632056/</w:t>
        </w:r>
      </w:hyperlink>
      <w:r w:rsidR="00BF1367">
        <w:rPr>
          <w:rFonts w:ascii="Anodina Light" w:hAnsi="Anodina Light"/>
        </w:rPr>
        <w:t xml:space="preserve"> </w:t>
      </w:r>
    </w:p>
  </w:endnote>
  <w:endnote w:id="4">
    <w:p w14:paraId="23459B5F" w14:textId="2608A983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Gad MM, et al. Epidemiology of cholangiocarcinoma; United States incidence and mortality trends. Clin Res Hepatol Gastroenterol 2020;44:885-893</w:t>
      </w:r>
      <w:r w:rsidR="00BF1367">
        <w:rPr>
          <w:rFonts w:ascii="Anodina Light" w:hAnsi="Anodina Light"/>
        </w:rPr>
        <w:t xml:space="preserve"> Available at: </w:t>
      </w:r>
      <w:hyperlink r:id="rId4" w:history="1">
        <w:r w:rsidR="00BF1367" w:rsidRPr="003A5973">
          <w:rPr>
            <w:rStyle w:val="Hyperlink"/>
            <w:rFonts w:ascii="Anodina Light" w:hAnsi="Anodina Light"/>
          </w:rPr>
          <w:t>https://pubmed.ncbi.nlm.nih.gov/32359831/</w:t>
        </w:r>
      </w:hyperlink>
      <w:r w:rsidR="00BF1367">
        <w:rPr>
          <w:rFonts w:ascii="Anodina Light" w:hAnsi="Anodina Light"/>
        </w:rPr>
        <w:t xml:space="preserve"> </w:t>
      </w:r>
    </w:p>
  </w:endnote>
  <w:endnote w:id="5">
    <w:p w14:paraId="41F73A85" w14:textId="49CB9BFD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Bertuccio</w:t>
      </w:r>
      <w:proofErr w:type="spellEnd"/>
      <w:r w:rsidRPr="00BF1367">
        <w:rPr>
          <w:rFonts w:ascii="Anodina Light" w:hAnsi="Anodina Light"/>
        </w:rPr>
        <w:t xml:space="preserve"> P, et al. Global trends in mortality from intrahepatic and extrahepatic cholangiocarcinoma. J Hepatol </w:t>
      </w:r>
      <w:proofErr w:type="gramStart"/>
      <w:r w:rsidRPr="00BF1367">
        <w:rPr>
          <w:rFonts w:ascii="Anodina Light" w:hAnsi="Anodina Light"/>
        </w:rPr>
        <w:t>2019;71:104</w:t>
      </w:r>
      <w:proofErr w:type="gramEnd"/>
      <w:r w:rsidRPr="00BF1367">
        <w:rPr>
          <w:rFonts w:ascii="Anodina Light" w:hAnsi="Anodina Light"/>
        </w:rPr>
        <w:t>-114.</w:t>
      </w:r>
      <w:r w:rsidR="00BF1367">
        <w:rPr>
          <w:rFonts w:ascii="Anodina Light" w:hAnsi="Anodina Light"/>
        </w:rPr>
        <w:t xml:space="preserve"> Available at: </w:t>
      </w:r>
      <w:hyperlink r:id="rId5" w:history="1">
        <w:r w:rsidR="00BF1367" w:rsidRPr="003A5973">
          <w:rPr>
            <w:rStyle w:val="Hyperlink"/>
            <w:rFonts w:ascii="Anodina Light" w:hAnsi="Anodina Light"/>
          </w:rPr>
          <w:t>https://pubmed.ncbi.nlm.nih.gov/30910538/</w:t>
        </w:r>
      </w:hyperlink>
      <w:r w:rsidR="00BF1367">
        <w:rPr>
          <w:rFonts w:ascii="Anodina Light" w:hAnsi="Anodina Light"/>
        </w:rPr>
        <w:t xml:space="preserve"> </w:t>
      </w:r>
    </w:p>
  </w:endnote>
  <w:endnote w:id="6">
    <w:p w14:paraId="5D83C9B2" w14:textId="7233C936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Banales</w:t>
      </w:r>
      <w:proofErr w:type="spellEnd"/>
      <w:r w:rsidRPr="00BF1367">
        <w:rPr>
          <w:rFonts w:ascii="Anodina Light" w:hAnsi="Anodina Light"/>
        </w:rPr>
        <w:t xml:space="preserve"> JM, et al. Cholangiocarcinoma 2020: the next horizon in mechanisms and management. Nat Rev Gastroenterol Hepatol. </w:t>
      </w:r>
      <w:proofErr w:type="gramStart"/>
      <w:r w:rsidRPr="00BF1367">
        <w:rPr>
          <w:rFonts w:ascii="Anodina Light" w:hAnsi="Anodina Light"/>
        </w:rPr>
        <w:t>2020;17:557</w:t>
      </w:r>
      <w:proofErr w:type="gramEnd"/>
      <w:r w:rsidRPr="00BF1367">
        <w:rPr>
          <w:rFonts w:ascii="Anodina Light" w:hAnsi="Anodina Light"/>
        </w:rPr>
        <w:t>-588.</w:t>
      </w:r>
      <w:r w:rsidR="00BF1367">
        <w:rPr>
          <w:rFonts w:ascii="Anodina Light" w:hAnsi="Anodina Light"/>
        </w:rPr>
        <w:t xml:space="preserve"> Available at: </w:t>
      </w:r>
      <w:hyperlink r:id="rId6" w:history="1">
        <w:r w:rsidR="00BF1367" w:rsidRPr="003A5973">
          <w:rPr>
            <w:rStyle w:val="Hyperlink"/>
            <w:rFonts w:ascii="Anodina Light" w:hAnsi="Anodina Light"/>
          </w:rPr>
          <w:t>https://pubmed.ncbi.nlm.nih.gov/32606456/</w:t>
        </w:r>
      </w:hyperlink>
      <w:r w:rsidR="00BF1367">
        <w:rPr>
          <w:rFonts w:ascii="Anodina Light" w:hAnsi="Anodina Light"/>
        </w:rPr>
        <w:t xml:space="preserve"> </w:t>
      </w:r>
    </w:p>
  </w:endnote>
  <w:endnote w:id="7">
    <w:p w14:paraId="0D44B3C4" w14:textId="634E2C81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Forner</w:t>
      </w:r>
      <w:proofErr w:type="spellEnd"/>
      <w:r w:rsidRPr="00BF1367">
        <w:rPr>
          <w:rFonts w:ascii="Anodina Light" w:hAnsi="Anodina Light"/>
        </w:rPr>
        <w:t xml:space="preserve"> A, et al. Clinical presentation, diagnosis and staging of cholangiocarcinoma. Liver Int. 2019;39 Suppl 1:98-107.</w:t>
      </w:r>
      <w:r w:rsidR="00BF1367">
        <w:rPr>
          <w:rFonts w:ascii="Anodina Light" w:hAnsi="Anodina Light"/>
        </w:rPr>
        <w:t xml:space="preserve"> Available at: </w:t>
      </w:r>
      <w:hyperlink r:id="rId7" w:history="1">
        <w:r w:rsidR="00BF1367" w:rsidRPr="003A5973">
          <w:rPr>
            <w:rStyle w:val="Hyperlink"/>
            <w:rFonts w:ascii="Anodina Light" w:hAnsi="Anodina Light"/>
          </w:rPr>
          <w:t>https://pubmed.ncbi.nlm.nih.gov/30831002/</w:t>
        </w:r>
      </w:hyperlink>
      <w:r w:rsidR="00BF1367">
        <w:rPr>
          <w:rFonts w:ascii="Anodina Light" w:hAnsi="Anodina Light"/>
        </w:rPr>
        <w:t xml:space="preserve"> </w:t>
      </w:r>
    </w:p>
  </w:endnote>
  <w:endnote w:id="8">
    <w:p w14:paraId="6EE146DB" w14:textId="7A035421" w:rsidR="00520910" w:rsidRPr="00BF1367" w:rsidRDefault="00520910">
      <w:pPr>
        <w:pStyle w:val="EndnoteText"/>
        <w:rPr>
          <w:rStyle w:val="Hyperlink"/>
          <w:rFonts w:ascii="Anodina Light" w:hAnsi="Anodina Light"/>
          <w:shd w:val="clear" w:color="auto" w:fill="FDFDFD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r w:rsidRPr="005604B3">
        <w:rPr>
          <w:rFonts w:ascii="Anodina Light" w:hAnsi="Anodina Light"/>
        </w:rPr>
        <w:t xml:space="preserve">Graf J, Stengel A. Psychological Burden and Psycho-Oncological Interventions for Patients </w:t>
      </w:r>
      <w:proofErr w:type="gramStart"/>
      <w:r w:rsidRPr="005604B3">
        <w:rPr>
          <w:rFonts w:ascii="Anodina Light" w:hAnsi="Anodina Light"/>
        </w:rPr>
        <w:t>With</w:t>
      </w:r>
      <w:proofErr w:type="gramEnd"/>
      <w:r w:rsidRPr="005604B3">
        <w:rPr>
          <w:rFonts w:ascii="Anodina Light" w:hAnsi="Anodina Light"/>
        </w:rPr>
        <w:t xml:space="preserve"> Hepatobiliary Cancers-A Systematic Review. Front Psychol. 2021 May </w:t>
      </w:r>
      <w:proofErr w:type="gramStart"/>
      <w:r w:rsidRPr="005604B3">
        <w:rPr>
          <w:rFonts w:ascii="Anodina Light" w:hAnsi="Anodina Light"/>
        </w:rPr>
        <w:t>5;12:662777</w:t>
      </w:r>
      <w:proofErr w:type="gramEnd"/>
      <w:r w:rsidRPr="005604B3">
        <w:rPr>
          <w:rFonts w:ascii="Anodina Light" w:hAnsi="Anodina Light"/>
        </w:rPr>
        <w:t xml:space="preserve">. </w:t>
      </w:r>
      <w:proofErr w:type="spellStart"/>
      <w:r w:rsidRPr="005604B3">
        <w:rPr>
          <w:rFonts w:ascii="Anodina Light" w:hAnsi="Anodina Light"/>
        </w:rPr>
        <w:t>doi</w:t>
      </w:r>
      <w:proofErr w:type="spellEnd"/>
      <w:r w:rsidRPr="005604B3">
        <w:rPr>
          <w:rFonts w:ascii="Anodina Light" w:hAnsi="Anodina Light"/>
        </w:rPr>
        <w:t>: 10.3389/fpsyg.2021.662777. PMID: 34025526; PMCID: PMC8131509. Available at:</w:t>
      </w:r>
      <w:r w:rsidRPr="00BF1367">
        <w:rPr>
          <w:rFonts w:ascii="Anodina Light" w:hAnsi="Anodina Light"/>
        </w:rPr>
        <w:t xml:space="preserve"> </w:t>
      </w:r>
      <w:hyperlink r:id="rId8" w:history="1">
        <w:r w:rsidRPr="00BF1367">
          <w:rPr>
            <w:rStyle w:val="Hyperlink"/>
            <w:rFonts w:ascii="Anodina Light" w:hAnsi="Anodina Light"/>
            <w:shd w:val="clear" w:color="auto" w:fill="FDFDFD"/>
          </w:rPr>
          <w:t>https://pubmed.ncbi.nlm.nih.gov/34025526/</w:t>
        </w:r>
      </w:hyperlink>
    </w:p>
  </w:endnote>
  <w:endnote w:id="9">
    <w:p w14:paraId="0E0A5D17" w14:textId="0D26F6D1" w:rsidR="00520910" w:rsidRPr="00BF1367" w:rsidRDefault="00520910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  <w:lang w:val="fr-CH"/>
        </w:rPr>
        <w:t xml:space="preserve"> </w:t>
      </w:r>
      <w:r w:rsidRPr="005604B3">
        <w:rPr>
          <w:rFonts w:ascii="Anodina Light" w:hAnsi="Anodina Light"/>
        </w:rPr>
        <w:t xml:space="preserve">Valle J, et al. N </w:t>
      </w:r>
      <w:proofErr w:type="spellStart"/>
      <w:r w:rsidRPr="005604B3">
        <w:rPr>
          <w:rFonts w:ascii="Anodina Light" w:hAnsi="Anodina Light"/>
        </w:rPr>
        <w:t>Engl</w:t>
      </w:r>
      <w:proofErr w:type="spellEnd"/>
      <w:r w:rsidRPr="005604B3">
        <w:rPr>
          <w:rFonts w:ascii="Anodina Light" w:hAnsi="Anodina Light"/>
        </w:rPr>
        <w:t xml:space="preserve"> J Med. 2010;362:1273-1281. Available </w:t>
      </w:r>
      <w:r w:rsidR="005604B3" w:rsidRPr="005604B3">
        <w:rPr>
          <w:rFonts w:ascii="Anodina Light" w:hAnsi="Anodina Light"/>
        </w:rPr>
        <w:t>at</w:t>
      </w:r>
      <w:r w:rsidRPr="005604B3">
        <w:rPr>
          <w:rFonts w:ascii="Anodina Light" w:hAnsi="Anodina Light"/>
        </w:rPr>
        <w:t>:</w:t>
      </w:r>
      <w:r w:rsidRPr="00BF1367">
        <w:rPr>
          <w:rFonts w:ascii="Anodina Light" w:hAnsi="Anodina Light"/>
        </w:rPr>
        <w:t xml:space="preserve"> </w:t>
      </w:r>
      <w:hyperlink r:id="rId9" w:history="1">
        <w:r w:rsidRPr="00BF1367">
          <w:rPr>
            <w:rStyle w:val="Hyperlink"/>
            <w:rFonts w:ascii="Anodina Light" w:hAnsi="Anodina Light"/>
          </w:rPr>
          <w:t>https://pubmed.ncbi.nlm.nih.gov/20375404/</w:t>
        </w:r>
      </w:hyperlink>
      <w:r w:rsidRPr="00BF1367">
        <w:rPr>
          <w:rFonts w:ascii="Anodina Light" w:hAnsi="Anodina Light"/>
        </w:rPr>
        <w:t xml:space="preserve"> </w:t>
      </w:r>
    </w:p>
  </w:endnote>
  <w:endnote w:id="10">
    <w:p w14:paraId="63E1268F" w14:textId="350CA53F" w:rsidR="00520910" w:rsidRPr="00BF1367" w:rsidRDefault="00520910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5604B3">
        <w:rPr>
          <w:rFonts w:ascii="Anodina Light" w:hAnsi="Anodina Light"/>
        </w:rPr>
        <w:t>Lamarca</w:t>
      </w:r>
      <w:proofErr w:type="spellEnd"/>
      <w:r w:rsidRPr="005604B3">
        <w:rPr>
          <w:rFonts w:ascii="Anodina Light" w:hAnsi="Anodina Light"/>
        </w:rPr>
        <w:t xml:space="preserve"> A, et al. Second-line FOLFOX chemotherapy versus active symptom control for advanced biliary tract cancer (ABC-06): a phase 3, open-label, </w:t>
      </w:r>
      <w:proofErr w:type="spellStart"/>
      <w:r w:rsidRPr="005604B3">
        <w:rPr>
          <w:rFonts w:ascii="Anodina Light" w:hAnsi="Anodina Light"/>
        </w:rPr>
        <w:t>randomised</w:t>
      </w:r>
      <w:proofErr w:type="spellEnd"/>
      <w:r w:rsidRPr="005604B3">
        <w:rPr>
          <w:rFonts w:ascii="Anodina Light" w:hAnsi="Anodina Light"/>
        </w:rPr>
        <w:t>, controlled trial. Lancet Oncol. 2021 Mar 30. [Online ahead of print] Available at:</w:t>
      </w:r>
      <w:r w:rsidRPr="00BF1367">
        <w:rPr>
          <w:rFonts w:ascii="Anodina Light" w:hAnsi="Anodina Light"/>
        </w:rPr>
        <w:t xml:space="preserve"> </w:t>
      </w:r>
      <w:hyperlink r:id="rId10" w:history="1">
        <w:r w:rsidRPr="00BF1367">
          <w:rPr>
            <w:rStyle w:val="Hyperlink"/>
            <w:rFonts w:ascii="Anodina Light" w:hAnsi="Anodina Light"/>
          </w:rPr>
          <w:t>https://pubmed.ncbi.nlm.nih.gov/33798493/</w:t>
        </w:r>
      </w:hyperlink>
      <w:r w:rsidRPr="00BF1367">
        <w:rPr>
          <w:rFonts w:ascii="Anodina Light" w:hAnsi="Anodina Light"/>
        </w:rPr>
        <w:t xml:space="preserve"> </w:t>
      </w:r>
    </w:p>
  </w:endnote>
  <w:endnote w:id="11">
    <w:p w14:paraId="5F0C78C6" w14:textId="314C52AB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Farshidfar</w:t>
      </w:r>
      <w:proofErr w:type="spellEnd"/>
      <w:r w:rsidRPr="00BF1367">
        <w:rPr>
          <w:rFonts w:ascii="Anodina Light" w:hAnsi="Anodina Light"/>
        </w:rPr>
        <w:t xml:space="preserve"> F, et al. Cell Rep. 2017;18(11):2780-2794.</w:t>
      </w:r>
      <w:r w:rsidR="005604B3">
        <w:rPr>
          <w:rFonts w:ascii="Anodina Light" w:hAnsi="Anodina Light"/>
        </w:rPr>
        <w:t xml:space="preserve"> Available at: </w:t>
      </w:r>
      <w:hyperlink r:id="rId11" w:history="1">
        <w:r w:rsidR="005604B3" w:rsidRPr="003A5973">
          <w:rPr>
            <w:rStyle w:val="Hyperlink"/>
            <w:rFonts w:ascii="Anodina Light" w:hAnsi="Anodina Light"/>
          </w:rPr>
          <w:t>https://pubmed.ncbi.nlm.nih.gov/28297679/</w:t>
        </w:r>
      </w:hyperlink>
      <w:r w:rsidR="005604B3">
        <w:rPr>
          <w:rFonts w:ascii="Anodina Light" w:hAnsi="Anodina Light"/>
        </w:rPr>
        <w:t xml:space="preserve"> </w:t>
      </w:r>
    </w:p>
  </w:endnote>
  <w:endnote w:id="12">
    <w:p w14:paraId="5687C2CB" w14:textId="7AB09E0A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3E5015">
        <w:rPr>
          <w:rFonts w:ascii="Anodina Light" w:hAnsi="Anodina Light"/>
          <w:lang w:val="es-CU"/>
        </w:rPr>
        <w:t xml:space="preserve"> </w:t>
      </w:r>
      <w:r w:rsidRPr="003E5015">
        <w:rPr>
          <w:rFonts w:ascii="Anodina Light" w:hAnsi="Anodina Light"/>
          <w:lang w:val="es-CU"/>
        </w:rPr>
        <w:t>Arai Y, et al. Hepatology. 2014;59:1427-1434.</w:t>
      </w:r>
      <w:r w:rsidR="005604B3" w:rsidRPr="003E5015">
        <w:rPr>
          <w:rFonts w:ascii="Anodina Light" w:hAnsi="Anodina Light"/>
          <w:lang w:val="es-CU"/>
        </w:rPr>
        <w:t xml:space="preserve"> </w:t>
      </w:r>
      <w:r w:rsidR="005604B3">
        <w:rPr>
          <w:rFonts w:ascii="Anodina Light" w:hAnsi="Anodina Light"/>
        </w:rPr>
        <w:t xml:space="preserve">Available at: </w:t>
      </w:r>
      <w:hyperlink r:id="rId12" w:history="1">
        <w:r w:rsidR="005604B3" w:rsidRPr="003A5973">
          <w:rPr>
            <w:rStyle w:val="Hyperlink"/>
            <w:rFonts w:ascii="Anodina Light" w:hAnsi="Anodina Light"/>
          </w:rPr>
          <w:t>https://pubmed.ncbi.nlm.nih.gov/24122810/</w:t>
        </w:r>
      </w:hyperlink>
      <w:r w:rsidR="005604B3">
        <w:rPr>
          <w:rFonts w:ascii="Anodina Light" w:hAnsi="Anodina Light"/>
        </w:rPr>
        <w:t xml:space="preserve"> </w:t>
      </w:r>
    </w:p>
  </w:endnote>
  <w:endnote w:id="13">
    <w:p w14:paraId="21D1CFD6" w14:textId="533FC8D0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Graham RP, et al. Hum </w:t>
      </w:r>
      <w:proofErr w:type="spellStart"/>
      <w:r w:rsidRPr="00BF1367">
        <w:rPr>
          <w:rFonts w:ascii="Anodina Light" w:hAnsi="Anodina Light"/>
        </w:rPr>
        <w:t>Pathol</w:t>
      </w:r>
      <w:proofErr w:type="spellEnd"/>
      <w:r w:rsidRPr="00BF1367">
        <w:rPr>
          <w:rFonts w:ascii="Anodina Light" w:hAnsi="Anodina Light"/>
        </w:rPr>
        <w:t>. 2014;45(8):1630-1638.</w:t>
      </w:r>
      <w:r w:rsidR="005604B3">
        <w:rPr>
          <w:rFonts w:ascii="Anodina Light" w:hAnsi="Anodina Light"/>
        </w:rPr>
        <w:t xml:space="preserve"> Available at: </w:t>
      </w:r>
      <w:hyperlink r:id="rId13" w:history="1">
        <w:r w:rsidR="005604B3" w:rsidRPr="003A5973">
          <w:rPr>
            <w:rStyle w:val="Hyperlink"/>
            <w:rFonts w:ascii="Anodina Light" w:hAnsi="Anodina Light"/>
          </w:rPr>
          <w:t>https://pubmed.ncbi.nlm.nih.gov/24837095/</w:t>
        </w:r>
      </w:hyperlink>
      <w:r w:rsidR="005604B3">
        <w:rPr>
          <w:rFonts w:ascii="Anodina Light" w:hAnsi="Anodina Light"/>
        </w:rPr>
        <w:t xml:space="preserve"> </w:t>
      </w:r>
    </w:p>
  </w:endnote>
  <w:endnote w:id="14">
    <w:p w14:paraId="60100199" w14:textId="5F8ADE4D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Lowery MA, et al. Clin Cancer Res. 2018;24:4154-4161.</w:t>
      </w:r>
      <w:r w:rsidR="005604B3">
        <w:rPr>
          <w:rFonts w:ascii="Anodina Light" w:hAnsi="Anodina Light"/>
        </w:rPr>
        <w:t xml:space="preserve"> Available at: </w:t>
      </w:r>
      <w:hyperlink r:id="rId14" w:history="1">
        <w:r w:rsidR="005604B3" w:rsidRPr="003A5973">
          <w:rPr>
            <w:rStyle w:val="Hyperlink"/>
            <w:rFonts w:ascii="Anodina Light" w:hAnsi="Anodina Light"/>
          </w:rPr>
          <w:t>https://pubmed.ncbi.nlm.nih.gov/29848569/</w:t>
        </w:r>
      </w:hyperlink>
      <w:r w:rsidR="005604B3">
        <w:rPr>
          <w:rFonts w:ascii="Anodina Light" w:hAnsi="Anodina Light"/>
        </w:rPr>
        <w:t xml:space="preserve"> </w:t>
      </w:r>
    </w:p>
  </w:endnote>
  <w:endnote w:id="15">
    <w:p w14:paraId="658A4B03" w14:textId="6F1C2AF4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3E5015">
        <w:rPr>
          <w:rFonts w:ascii="Anodina Light" w:hAnsi="Anodina Light"/>
          <w:lang w:val="es-CU"/>
        </w:rPr>
        <w:t xml:space="preserve"> </w:t>
      </w:r>
      <w:r w:rsidRPr="003E5015">
        <w:rPr>
          <w:rFonts w:ascii="Anodina Light" w:hAnsi="Anodina Light"/>
          <w:lang w:val="es-CU"/>
        </w:rPr>
        <w:t>Javle M, et al. Cancer. 2016;122:3838-3847.</w:t>
      </w:r>
      <w:r w:rsidR="005604B3" w:rsidRPr="003E5015">
        <w:rPr>
          <w:rFonts w:ascii="Anodina Light" w:hAnsi="Anodina Light"/>
          <w:lang w:val="es-CU"/>
        </w:rPr>
        <w:t xml:space="preserve"> </w:t>
      </w:r>
      <w:r w:rsidR="005604B3">
        <w:rPr>
          <w:rFonts w:ascii="Anodina Light" w:hAnsi="Anodina Light"/>
        </w:rPr>
        <w:t xml:space="preserve">Available at: </w:t>
      </w:r>
      <w:hyperlink r:id="rId15" w:history="1">
        <w:r w:rsidR="005604B3" w:rsidRPr="003A5973">
          <w:rPr>
            <w:rStyle w:val="Hyperlink"/>
            <w:rFonts w:ascii="Anodina Light" w:hAnsi="Anodina Light"/>
          </w:rPr>
          <w:t>https://pubmed.ncbi.nlm.nih.gov/27622582/</w:t>
        </w:r>
      </w:hyperlink>
      <w:r w:rsidR="005604B3">
        <w:rPr>
          <w:rFonts w:ascii="Anodina Light" w:hAnsi="Anodina Light"/>
        </w:rPr>
        <w:t xml:space="preserve"> </w:t>
      </w:r>
    </w:p>
  </w:endnote>
  <w:endnote w:id="16">
    <w:p w14:paraId="1B706A68" w14:textId="046CAD8C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Goyal L, et al. Cancer </w:t>
      </w:r>
      <w:proofErr w:type="spellStart"/>
      <w:r w:rsidRPr="00BF1367">
        <w:rPr>
          <w:rFonts w:ascii="Anodina Light" w:hAnsi="Anodina Light"/>
        </w:rPr>
        <w:t>Discov</w:t>
      </w:r>
      <w:proofErr w:type="spellEnd"/>
      <w:r w:rsidRPr="00BF1367">
        <w:rPr>
          <w:rFonts w:ascii="Anodina Light" w:hAnsi="Anodina Light"/>
        </w:rPr>
        <w:t xml:space="preserve">. </w:t>
      </w:r>
      <w:proofErr w:type="gramStart"/>
      <w:r w:rsidRPr="00BF1367">
        <w:rPr>
          <w:rFonts w:ascii="Anodina Light" w:hAnsi="Anodina Light"/>
        </w:rPr>
        <w:t>2017;7:252</w:t>
      </w:r>
      <w:proofErr w:type="gramEnd"/>
      <w:r w:rsidRPr="00BF1367">
        <w:rPr>
          <w:rFonts w:ascii="Anodina Light" w:hAnsi="Anodina Light"/>
        </w:rPr>
        <w:t>-263.</w:t>
      </w:r>
      <w:r w:rsidR="005604B3">
        <w:rPr>
          <w:rFonts w:ascii="Anodina Light" w:hAnsi="Anodina Light"/>
        </w:rPr>
        <w:t xml:space="preserve"> Available at: </w:t>
      </w:r>
      <w:hyperlink r:id="rId16" w:history="1">
        <w:r w:rsidR="005604B3" w:rsidRPr="003A5973">
          <w:rPr>
            <w:rStyle w:val="Hyperlink"/>
            <w:rFonts w:ascii="Anodina Light" w:hAnsi="Anodina Light"/>
          </w:rPr>
          <w:t>https://pubmed.ncbi.nlm.nih.gov/28034880/</w:t>
        </w:r>
      </w:hyperlink>
      <w:r w:rsidR="005604B3">
        <w:rPr>
          <w:rFonts w:ascii="Anodina Light" w:hAnsi="Anodina Light"/>
        </w:rPr>
        <w:t xml:space="preserve"> </w:t>
      </w:r>
    </w:p>
  </w:endnote>
  <w:endnote w:id="17">
    <w:p w14:paraId="2D0DB3CA" w14:textId="4B1411AA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Rizvi S, </w:t>
      </w:r>
      <w:proofErr w:type="spellStart"/>
      <w:r w:rsidRPr="00BF1367">
        <w:rPr>
          <w:rFonts w:ascii="Anodina Light" w:hAnsi="Anodina Light"/>
        </w:rPr>
        <w:t>Borad</w:t>
      </w:r>
      <w:proofErr w:type="spellEnd"/>
      <w:r w:rsidRPr="00BF1367">
        <w:rPr>
          <w:rFonts w:ascii="Anodina Light" w:hAnsi="Anodina Light"/>
        </w:rPr>
        <w:t xml:space="preserve"> MJ. J </w:t>
      </w:r>
      <w:proofErr w:type="spellStart"/>
      <w:r w:rsidRPr="00BF1367">
        <w:rPr>
          <w:rFonts w:ascii="Anodina Light" w:hAnsi="Anodina Light"/>
        </w:rPr>
        <w:t>Gastrointest</w:t>
      </w:r>
      <w:proofErr w:type="spellEnd"/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Oncol</w:t>
      </w:r>
      <w:proofErr w:type="spellEnd"/>
      <w:r w:rsidRPr="00BF1367">
        <w:rPr>
          <w:rFonts w:ascii="Anodina Light" w:hAnsi="Anodina Light"/>
        </w:rPr>
        <w:t xml:space="preserve">. </w:t>
      </w:r>
      <w:proofErr w:type="gramStart"/>
      <w:r w:rsidRPr="00BF1367">
        <w:rPr>
          <w:rFonts w:ascii="Anodina Light" w:hAnsi="Anodina Light"/>
        </w:rPr>
        <w:t>2016;7:789</w:t>
      </w:r>
      <w:proofErr w:type="gramEnd"/>
      <w:r w:rsidRPr="00BF1367">
        <w:rPr>
          <w:rFonts w:ascii="Anodina Light" w:hAnsi="Anodina Light"/>
        </w:rPr>
        <w:t>-796.</w:t>
      </w:r>
      <w:r w:rsidR="005604B3">
        <w:rPr>
          <w:rFonts w:ascii="Anodina Light" w:hAnsi="Anodina Light"/>
        </w:rPr>
        <w:t xml:space="preserve"> Available at: </w:t>
      </w:r>
      <w:hyperlink r:id="rId17" w:history="1">
        <w:r w:rsidR="005604B3" w:rsidRPr="003A5973">
          <w:rPr>
            <w:rStyle w:val="Hyperlink"/>
            <w:rFonts w:ascii="Anodina Light" w:hAnsi="Anodina Light"/>
          </w:rPr>
          <w:t>https://pubmed.ncbi.nlm.nih.gov/27747092/</w:t>
        </w:r>
      </w:hyperlink>
      <w:r w:rsidR="005604B3">
        <w:rPr>
          <w:rFonts w:ascii="Anodina Light" w:hAnsi="Anodina Light"/>
        </w:rPr>
        <w:t xml:space="preserve"> </w:t>
      </w:r>
    </w:p>
  </w:endnote>
  <w:endnote w:id="18">
    <w:p w14:paraId="06A287B8" w14:textId="185CA38B" w:rsidR="00234C95" w:rsidRPr="00BF1367" w:rsidRDefault="00234C95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r w:rsidRPr="005604B3">
        <w:rPr>
          <w:rFonts w:ascii="Anodina Light" w:hAnsi="Anodina Light"/>
        </w:rPr>
        <w:t xml:space="preserve">Liu </w:t>
      </w:r>
      <w:r w:rsidR="00CD49AC">
        <w:rPr>
          <w:rFonts w:ascii="Anodina Light" w:hAnsi="Anodina Light"/>
        </w:rPr>
        <w:t xml:space="preserve">P, </w:t>
      </w:r>
      <w:r w:rsidRPr="005604B3">
        <w:rPr>
          <w:rFonts w:ascii="Anodina Light" w:hAnsi="Anodina Light"/>
        </w:rPr>
        <w:t>et al</w:t>
      </w:r>
      <w:r w:rsidR="00CD49AC">
        <w:rPr>
          <w:rFonts w:ascii="Anodina Light" w:hAnsi="Anodina Light"/>
        </w:rPr>
        <w:t>.</w:t>
      </w:r>
      <w:r w:rsidRPr="005604B3">
        <w:rPr>
          <w:rFonts w:ascii="Anodina Light" w:hAnsi="Anodina Light"/>
        </w:rPr>
        <w:t xml:space="preserve"> INCB054828 (Pemigatinib), a Potent and Selective Inhibitor of Fibroblast Growth Factor Receptors 1, 2, and 3, Displays Activity Against Genetically Defined Tumor Models. </w:t>
      </w:r>
      <w:proofErr w:type="spellStart"/>
      <w:r w:rsidRPr="005604B3">
        <w:rPr>
          <w:rFonts w:ascii="Anodina Light" w:hAnsi="Anodina Light"/>
        </w:rPr>
        <w:t>PLoS</w:t>
      </w:r>
      <w:proofErr w:type="spellEnd"/>
      <w:r w:rsidRPr="005604B3">
        <w:rPr>
          <w:rFonts w:ascii="Anodina Light" w:hAnsi="Anodina Light"/>
        </w:rPr>
        <w:t xml:space="preserve"> ONE 2020;15(4): e0231877. https://doi.org/10.1371/journal.pone.0231877 Available at:</w:t>
      </w:r>
      <w:r w:rsidRPr="00BF1367">
        <w:rPr>
          <w:rFonts w:ascii="Anodina Light" w:hAnsi="Anodina Light"/>
        </w:rPr>
        <w:t xml:space="preserve"> </w:t>
      </w:r>
      <w:hyperlink r:id="rId18" w:history="1">
        <w:r w:rsidR="00E66F8E" w:rsidRPr="00BF1367">
          <w:rPr>
            <w:rStyle w:val="Hyperlink"/>
            <w:rFonts w:ascii="Anodina Light" w:hAnsi="Anodina Light"/>
          </w:rPr>
          <w:t>https://pubmed.ncbi.nlm.nih.gov/32315352/</w:t>
        </w:r>
      </w:hyperlink>
      <w:r w:rsidR="00E66F8E" w:rsidRPr="00BF1367">
        <w:rPr>
          <w:rFonts w:ascii="Anodina Light" w:hAnsi="Anodina Light"/>
        </w:rPr>
        <w:t xml:space="preserve"> </w:t>
      </w:r>
    </w:p>
  </w:endnote>
  <w:endnote w:id="19">
    <w:p w14:paraId="0CF54BEA" w14:textId="24CB9E48" w:rsidR="00426414" w:rsidRPr="00BF1367" w:rsidRDefault="00426414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r w:rsidRPr="005604B3">
        <w:rPr>
          <w:rFonts w:ascii="Anodina Light" w:hAnsi="Anodina Light"/>
        </w:rPr>
        <w:t>Referenced with permission from the NCCN Clinical Practice Guidelines in Oncology (NCCN Guidelines®) for Hepatobiliary Cancers V.4.2020. © National Comprehensive Cancer Network, Inc. 2020. All rights reserved. Accessed June 19, 2020. To view the most recent and complete version of the guideline, go online to NCCN.org.</w:t>
      </w:r>
    </w:p>
  </w:endnote>
  <w:endnote w:id="20">
    <w:p w14:paraId="612BD060" w14:textId="37DBFF95" w:rsidR="00443ECB" w:rsidRPr="00BF1367" w:rsidRDefault="00443ECB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Merz V, et al. Pemigatinib, a potent inhibitor of FGFRs for the treatment of cholangiocarcinoma. Future Oncol. </w:t>
      </w:r>
      <w:proofErr w:type="gramStart"/>
      <w:r w:rsidRPr="00BF1367">
        <w:rPr>
          <w:rFonts w:ascii="Anodina Light" w:hAnsi="Anodina Light"/>
        </w:rPr>
        <w:t>2021;17:389</w:t>
      </w:r>
      <w:proofErr w:type="gramEnd"/>
      <w:r w:rsidRPr="00BF1367">
        <w:rPr>
          <w:rFonts w:ascii="Anodina Light" w:hAnsi="Anodina Light"/>
        </w:rPr>
        <w:t>-402</w:t>
      </w:r>
      <w:r w:rsidR="005604B3">
        <w:rPr>
          <w:rFonts w:ascii="Anodina Light" w:hAnsi="Anodina Light"/>
        </w:rPr>
        <w:t xml:space="preserve">. Available at: </w:t>
      </w:r>
      <w:hyperlink r:id="rId19" w:history="1">
        <w:r w:rsidR="005604B3" w:rsidRPr="003A5973">
          <w:rPr>
            <w:rStyle w:val="Hyperlink"/>
            <w:rFonts w:ascii="Anodina Light" w:hAnsi="Anodina Light"/>
          </w:rPr>
          <w:t>https://pubmed.ncbi.nlm.nih.gov/33034201/</w:t>
        </w:r>
      </w:hyperlink>
      <w:r w:rsidR="005604B3">
        <w:rPr>
          <w:rFonts w:ascii="Anodina Light" w:hAnsi="Anodina Light"/>
        </w:rPr>
        <w:t xml:space="preserve"> </w:t>
      </w:r>
    </w:p>
  </w:endnote>
  <w:endnote w:id="21">
    <w:p w14:paraId="721FD752" w14:textId="5B652C7F" w:rsidR="00BF1367" w:rsidRPr="00BF1367" w:rsidRDefault="00BF1367" w:rsidP="00BF1367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proofErr w:type="spellStart"/>
      <w:r w:rsidRPr="00BF1367">
        <w:rPr>
          <w:rFonts w:ascii="Anodina Light" w:hAnsi="Anodina Light"/>
        </w:rPr>
        <w:t>Abou</w:t>
      </w:r>
      <w:proofErr w:type="spellEnd"/>
      <w:r w:rsidRPr="00BF1367">
        <w:rPr>
          <w:rFonts w:ascii="Anodina Light" w:hAnsi="Anodina Light"/>
        </w:rPr>
        <w:t xml:space="preserve">-Alfa GK, </w:t>
      </w:r>
      <w:r w:rsidR="00CD49AC">
        <w:rPr>
          <w:rFonts w:ascii="Anodina Light" w:hAnsi="Anodina Light"/>
        </w:rPr>
        <w:t>et al</w:t>
      </w:r>
      <w:r w:rsidRPr="00BF1367">
        <w:rPr>
          <w:rFonts w:ascii="Anodina Light" w:hAnsi="Anodina Light"/>
        </w:rPr>
        <w:t xml:space="preserve">. Pemigatinib for previously treated, locally advanced or metastatic </w:t>
      </w:r>
      <w:proofErr w:type="spellStart"/>
      <w:r w:rsidRPr="00BF1367">
        <w:rPr>
          <w:rFonts w:ascii="Anodina Light" w:hAnsi="Anodina Light"/>
        </w:rPr>
        <w:t>cholangiocarcinoma</w:t>
      </w:r>
      <w:proofErr w:type="spellEnd"/>
      <w:r w:rsidRPr="00BF1367">
        <w:rPr>
          <w:rFonts w:ascii="Anodina Light" w:hAnsi="Anodina Light"/>
        </w:rPr>
        <w:t xml:space="preserve">: a </w:t>
      </w:r>
      <w:proofErr w:type="spellStart"/>
      <w:r w:rsidRPr="00BF1367">
        <w:rPr>
          <w:rFonts w:ascii="Anodina Light" w:hAnsi="Anodina Light"/>
        </w:rPr>
        <w:t>multicentre</w:t>
      </w:r>
      <w:proofErr w:type="spellEnd"/>
      <w:r w:rsidRPr="00BF1367">
        <w:rPr>
          <w:rFonts w:ascii="Anodina Light" w:hAnsi="Anodina Light"/>
        </w:rPr>
        <w:t xml:space="preserve">, open-label, phase 2 study. Lancet Oncol. 2020 May;21(5):671-684. </w:t>
      </w:r>
      <w:proofErr w:type="spellStart"/>
      <w:r w:rsidRPr="00BF1367">
        <w:rPr>
          <w:rFonts w:ascii="Anodina Light" w:hAnsi="Anodina Light"/>
        </w:rPr>
        <w:t>doi</w:t>
      </w:r>
      <w:proofErr w:type="spellEnd"/>
      <w:r w:rsidRPr="00BF1367">
        <w:rPr>
          <w:rFonts w:ascii="Anodina Light" w:hAnsi="Anodina Light"/>
        </w:rPr>
        <w:t xml:space="preserve">: 10.1016/S1470-2045(20)30109-1. </w:t>
      </w:r>
      <w:proofErr w:type="spellStart"/>
      <w:r w:rsidRPr="00BF1367">
        <w:rPr>
          <w:rFonts w:ascii="Anodina Light" w:hAnsi="Anodina Light"/>
        </w:rPr>
        <w:t>Epub</w:t>
      </w:r>
      <w:proofErr w:type="spellEnd"/>
      <w:r w:rsidRPr="00BF1367">
        <w:rPr>
          <w:rFonts w:ascii="Anodina Light" w:hAnsi="Anodina Light"/>
        </w:rPr>
        <w:t xml:space="preserve"> 2020 Mar 20. PMID: 32203698. Available at: </w:t>
      </w:r>
      <w:hyperlink r:id="rId20" w:history="1">
        <w:r w:rsidRPr="00BF1367">
          <w:rPr>
            <w:rStyle w:val="Hyperlink"/>
            <w:rFonts w:ascii="Anodina Light" w:hAnsi="Anodina Light"/>
          </w:rPr>
          <w:t>https://pubmed.ncbi.nlm.nih.gov/32203698/</w:t>
        </w:r>
      </w:hyperlink>
      <w:r w:rsidRPr="00BF1367">
        <w:rPr>
          <w:rFonts w:ascii="Anodina Light" w:hAnsi="Anodina Light"/>
        </w:rPr>
        <w:t xml:space="preserve"> </w:t>
      </w:r>
    </w:p>
  </w:endnote>
  <w:endnote w:id="22">
    <w:p w14:paraId="7A5820C9" w14:textId="7F344494" w:rsidR="00BF1367" w:rsidRPr="00BF1367" w:rsidRDefault="00BF1367" w:rsidP="00BF1367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</w:t>
      </w:r>
      <w:proofErr w:type="spellStart"/>
      <w:r w:rsidRPr="00BF1367">
        <w:rPr>
          <w:rFonts w:ascii="Anodina Light" w:hAnsi="Anodina Light"/>
        </w:rPr>
        <w:t>Mosele</w:t>
      </w:r>
      <w:proofErr w:type="spellEnd"/>
      <w:r w:rsidRPr="00BF1367">
        <w:rPr>
          <w:rFonts w:ascii="Anodina Light" w:hAnsi="Anodina Light"/>
        </w:rPr>
        <w:t xml:space="preserve"> F, et al. Ann Oncol. </w:t>
      </w:r>
      <w:proofErr w:type="gramStart"/>
      <w:r w:rsidRPr="00BF1367">
        <w:rPr>
          <w:rFonts w:ascii="Anodina Light" w:hAnsi="Anodina Light"/>
        </w:rPr>
        <w:t>2020;31:1491</w:t>
      </w:r>
      <w:proofErr w:type="gramEnd"/>
      <w:r w:rsidRPr="00BF1367">
        <w:rPr>
          <w:rFonts w:ascii="Anodina Light" w:hAnsi="Anodina Light"/>
        </w:rPr>
        <w:t>-1505.</w:t>
      </w:r>
      <w:r w:rsidR="005604B3">
        <w:rPr>
          <w:rFonts w:ascii="Anodina Light" w:hAnsi="Anodina Light"/>
        </w:rPr>
        <w:t xml:space="preserve"> Available at: </w:t>
      </w:r>
      <w:hyperlink r:id="rId21" w:history="1">
        <w:r w:rsidR="005604B3" w:rsidRPr="003A5973">
          <w:rPr>
            <w:rStyle w:val="Hyperlink"/>
            <w:rFonts w:ascii="Anodina Light" w:hAnsi="Anodina Light"/>
          </w:rPr>
          <w:t>https://pubmed.ncbi.nlm.nih.gov/32853681/</w:t>
        </w:r>
      </w:hyperlink>
      <w:r w:rsidR="005604B3">
        <w:rPr>
          <w:rFonts w:ascii="Anodina Light" w:hAnsi="Anodina Light"/>
        </w:rPr>
        <w:t xml:space="preserve"> </w:t>
      </w:r>
    </w:p>
  </w:endnote>
  <w:endnote w:id="23">
    <w:p w14:paraId="54805884" w14:textId="60DCB9EA" w:rsidR="00BF1367" w:rsidRPr="00BF1367" w:rsidRDefault="00BF1367">
      <w:pPr>
        <w:pStyle w:val="EndnoteText"/>
        <w:rPr>
          <w:rFonts w:ascii="Anodina Light" w:hAnsi="Anodina Light"/>
        </w:rPr>
      </w:pPr>
      <w:r w:rsidRPr="00BF1367">
        <w:rPr>
          <w:rStyle w:val="EndnoteReference"/>
          <w:rFonts w:ascii="Anodina Light" w:hAnsi="Anodina Light"/>
        </w:rPr>
        <w:endnoteRef/>
      </w:r>
      <w:r w:rsidRPr="00BF1367">
        <w:rPr>
          <w:rFonts w:ascii="Anodina Light" w:hAnsi="Anodina Light"/>
        </w:rPr>
        <w:t xml:space="preserve"> Weaver A, </w:t>
      </w:r>
      <w:proofErr w:type="spellStart"/>
      <w:r w:rsidRPr="00BF1367">
        <w:rPr>
          <w:rFonts w:ascii="Anodina Light" w:hAnsi="Anodina Light"/>
        </w:rPr>
        <w:t>Bossaer</w:t>
      </w:r>
      <w:proofErr w:type="spellEnd"/>
      <w:r w:rsidRPr="00BF1367">
        <w:rPr>
          <w:rFonts w:ascii="Anodina Light" w:hAnsi="Anodina Light"/>
        </w:rPr>
        <w:t xml:space="preserve">, JB. J </w:t>
      </w:r>
      <w:proofErr w:type="spellStart"/>
      <w:r w:rsidRPr="00BF1367">
        <w:rPr>
          <w:rFonts w:ascii="Anodina Light" w:hAnsi="Anodina Light"/>
        </w:rPr>
        <w:t>Oncol</w:t>
      </w:r>
      <w:proofErr w:type="spellEnd"/>
      <w:r w:rsidRPr="00BF1367">
        <w:rPr>
          <w:rFonts w:ascii="Anodina Light" w:hAnsi="Anodina Light"/>
        </w:rPr>
        <w:t xml:space="preserve"> Pharm </w:t>
      </w:r>
      <w:proofErr w:type="spellStart"/>
      <w:r w:rsidRPr="00BF1367">
        <w:rPr>
          <w:rFonts w:ascii="Anodina Light" w:hAnsi="Anodina Light"/>
        </w:rPr>
        <w:t>Pract</w:t>
      </w:r>
      <w:proofErr w:type="spellEnd"/>
      <w:r w:rsidRPr="00BF1367">
        <w:rPr>
          <w:rFonts w:ascii="Anodina Light" w:hAnsi="Anodina Light"/>
        </w:rPr>
        <w:t xml:space="preserve">. </w:t>
      </w:r>
      <w:proofErr w:type="gramStart"/>
      <w:r w:rsidRPr="00BF1367">
        <w:rPr>
          <w:rFonts w:ascii="Anodina Light" w:hAnsi="Anodina Light"/>
        </w:rPr>
        <w:t>2021;27:702</w:t>
      </w:r>
      <w:proofErr w:type="gramEnd"/>
      <w:r w:rsidRPr="00BF1367">
        <w:rPr>
          <w:rFonts w:ascii="Anodina Light" w:hAnsi="Anodina Light"/>
        </w:rPr>
        <w:t>-710.</w:t>
      </w:r>
      <w:r w:rsidR="005604B3">
        <w:rPr>
          <w:rFonts w:ascii="Anodina Light" w:hAnsi="Anodina Light"/>
        </w:rPr>
        <w:t xml:space="preserve"> Available at: </w:t>
      </w:r>
      <w:hyperlink r:id="rId22" w:history="1">
        <w:r w:rsidR="005604B3" w:rsidRPr="003A5973">
          <w:rPr>
            <w:rStyle w:val="Hyperlink"/>
            <w:rFonts w:ascii="Anodina Light" w:hAnsi="Anodina Light"/>
          </w:rPr>
          <w:t>https://pubmed.ncbi.nlm.nih.gov/33375902/</w:t>
        </w:r>
      </w:hyperlink>
      <w:r w:rsidR="005604B3">
        <w:rPr>
          <w:rFonts w:ascii="Anodina Light" w:hAnsi="Anodina Light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odina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1E15F" w14:textId="77777777" w:rsidR="008202EE" w:rsidRDefault="008202EE" w:rsidP="00947623">
      <w:pPr>
        <w:spacing w:after="0" w:line="240" w:lineRule="auto"/>
      </w:pPr>
      <w:r>
        <w:separator/>
      </w:r>
    </w:p>
  </w:footnote>
  <w:footnote w:type="continuationSeparator" w:id="0">
    <w:p w14:paraId="4BFB4545" w14:textId="77777777" w:rsidR="008202EE" w:rsidRDefault="008202EE" w:rsidP="00947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30917"/>
    <w:multiLevelType w:val="hybridMultilevel"/>
    <w:tmpl w:val="6C80012C"/>
    <w:lvl w:ilvl="0" w:tplc="8AC425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52DF5"/>
    <w:multiLevelType w:val="hybridMultilevel"/>
    <w:tmpl w:val="A8487B58"/>
    <w:lvl w:ilvl="0" w:tplc="7EF29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1A5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0A5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E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CC5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E8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2A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EE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1C1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DA42020"/>
    <w:multiLevelType w:val="hybridMultilevel"/>
    <w:tmpl w:val="414EDDA0"/>
    <w:lvl w:ilvl="0" w:tplc="C3448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E2B8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2F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2A9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363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0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123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74F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63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3447C01"/>
    <w:multiLevelType w:val="hybridMultilevel"/>
    <w:tmpl w:val="F4CE07AE"/>
    <w:lvl w:ilvl="0" w:tplc="EB9C4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5C2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D22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04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48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C69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9E1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604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287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6242DC4"/>
    <w:multiLevelType w:val="hybridMultilevel"/>
    <w:tmpl w:val="D5F0EB18"/>
    <w:lvl w:ilvl="0" w:tplc="84B46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3C4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DA2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92D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124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305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843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12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C00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FB4681"/>
    <w:multiLevelType w:val="hybridMultilevel"/>
    <w:tmpl w:val="CDA61324"/>
    <w:lvl w:ilvl="0" w:tplc="E9F88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C6887"/>
    <w:multiLevelType w:val="hybridMultilevel"/>
    <w:tmpl w:val="A60C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31700"/>
    <w:multiLevelType w:val="hybridMultilevel"/>
    <w:tmpl w:val="45A43A92"/>
    <w:lvl w:ilvl="0" w:tplc="80A47C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233ED"/>
    <w:multiLevelType w:val="hybridMultilevel"/>
    <w:tmpl w:val="E0E4092C"/>
    <w:lvl w:ilvl="0" w:tplc="80A47C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0B"/>
    <w:rsid w:val="00010626"/>
    <w:rsid w:val="000267E8"/>
    <w:rsid w:val="00043918"/>
    <w:rsid w:val="000A4FC3"/>
    <w:rsid w:val="000C71C0"/>
    <w:rsid w:val="000D20BE"/>
    <w:rsid w:val="000E128F"/>
    <w:rsid w:val="000F57A1"/>
    <w:rsid w:val="001059E8"/>
    <w:rsid w:val="001135E7"/>
    <w:rsid w:val="00114E2A"/>
    <w:rsid w:val="001201E0"/>
    <w:rsid w:val="00121D96"/>
    <w:rsid w:val="001241F5"/>
    <w:rsid w:val="0012484E"/>
    <w:rsid w:val="001277F6"/>
    <w:rsid w:val="00130A67"/>
    <w:rsid w:val="001456AE"/>
    <w:rsid w:val="001710A1"/>
    <w:rsid w:val="00186A6C"/>
    <w:rsid w:val="001927A6"/>
    <w:rsid w:val="001B1B48"/>
    <w:rsid w:val="001B2951"/>
    <w:rsid w:val="001B6197"/>
    <w:rsid w:val="001C0A76"/>
    <w:rsid w:val="001E6D93"/>
    <w:rsid w:val="002209B5"/>
    <w:rsid w:val="00224A26"/>
    <w:rsid w:val="00225F0B"/>
    <w:rsid w:val="00234C95"/>
    <w:rsid w:val="002437EB"/>
    <w:rsid w:val="00246157"/>
    <w:rsid w:val="00250244"/>
    <w:rsid w:val="002740DF"/>
    <w:rsid w:val="00276346"/>
    <w:rsid w:val="0029483A"/>
    <w:rsid w:val="002A7652"/>
    <w:rsid w:val="002C263F"/>
    <w:rsid w:val="002D00E6"/>
    <w:rsid w:val="002F64C2"/>
    <w:rsid w:val="00300B1E"/>
    <w:rsid w:val="00305376"/>
    <w:rsid w:val="00327AB3"/>
    <w:rsid w:val="00335D3B"/>
    <w:rsid w:val="00335EA5"/>
    <w:rsid w:val="00341C66"/>
    <w:rsid w:val="00345356"/>
    <w:rsid w:val="00364FC7"/>
    <w:rsid w:val="0037799E"/>
    <w:rsid w:val="0038121D"/>
    <w:rsid w:val="003930A8"/>
    <w:rsid w:val="003961AA"/>
    <w:rsid w:val="00396877"/>
    <w:rsid w:val="003A57BF"/>
    <w:rsid w:val="003C4E57"/>
    <w:rsid w:val="003C4FA9"/>
    <w:rsid w:val="003D02D8"/>
    <w:rsid w:val="003D6F17"/>
    <w:rsid w:val="003E5015"/>
    <w:rsid w:val="003E7605"/>
    <w:rsid w:val="003F3A5D"/>
    <w:rsid w:val="004238A1"/>
    <w:rsid w:val="00426414"/>
    <w:rsid w:val="004272BC"/>
    <w:rsid w:val="00432BE3"/>
    <w:rsid w:val="00432BFA"/>
    <w:rsid w:val="0043728C"/>
    <w:rsid w:val="00441D81"/>
    <w:rsid w:val="00443ECB"/>
    <w:rsid w:val="004515C8"/>
    <w:rsid w:val="004546B6"/>
    <w:rsid w:val="00456FDA"/>
    <w:rsid w:val="0046029D"/>
    <w:rsid w:val="00467D8D"/>
    <w:rsid w:val="00471426"/>
    <w:rsid w:val="00476E2D"/>
    <w:rsid w:val="0048171B"/>
    <w:rsid w:val="00487AAF"/>
    <w:rsid w:val="004B628E"/>
    <w:rsid w:val="004C66B3"/>
    <w:rsid w:val="004C678A"/>
    <w:rsid w:val="004E0515"/>
    <w:rsid w:val="004F6671"/>
    <w:rsid w:val="0051412A"/>
    <w:rsid w:val="00520910"/>
    <w:rsid w:val="005241E9"/>
    <w:rsid w:val="00542931"/>
    <w:rsid w:val="00546595"/>
    <w:rsid w:val="0055219A"/>
    <w:rsid w:val="0055666F"/>
    <w:rsid w:val="005604B3"/>
    <w:rsid w:val="00582E30"/>
    <w:rsid w:val="00584422"/>
    <w:rsid w:val="00592F50"/>
    <w:rsid w:val="00596BE8"/>
    <w:rsid w:val="005A36C5"/>
    <w:rsid w:val="005B51A3"/>
    <w:rsid w:val="005C5897"/>
    <w:rsid w:val="005D18D5"/>
    <w:rsid w:val="005E0FB4"/>
    <w:rsid w:val="0060291C"/>
    <w:rsid w:val="00624F4D"/>
    <w:rsid w:val="00646A20"/>
    <w:rsid w:val="006574F9"/>
    <w:rsid w:val="006755D3"/>
    <w:rsid w:val="00675DE7"/>
    <w:rsid w:val="00690F1A"/>
    <w:rsid w:val="006967C2"/>
    <w:rsid w:val="006A1240"/>
    <w:rsid w:val="006A6925"/>
    <w:rsid w:val="006B1382"/>
    <w:rsid w:val="006B7E6F"/>
    <w:rsid w:val="006C0513"/>
    <w:rsid w:val="0071099D"/>
    <w:rsid w:val="0072210D"/>
    <w:rsid w:val="00750841"/>
    <w:rsid w:val="0077079F"/>
    <w:rsid w:val="007A7E37"/>
    <w:rsid w:val="007B7B61"/>
    <w:rsid w:val="007D5393"/>
    <w:rsid w:val="007D5D0A"/>
    <w:rsid w:val="008202EE"/>
    <w:rsid w:val="00821357"/>
    <w:rsid w:val="008372E2"/>
    <w:rsid w:val="008513F0"/>
    <w:rsid w:val="00874A20"/>
    <w:rsid w:val="00891EBF"/>
    <w:rsid w:val="0089438F"/>
    <w:rsid w:val="008A40ED"/>
    <w:rsid w:val="008B26AB"/>
    <w:rsid w:val="008C1494"/>
    <w:rsid w:val="008C63D8"/>
    <w:rsid w:val="008E10F8"/>
    <w:rsid w:val="008E1F95"/>
    <w:rsid w:val="0092439B"/>
    <w:rsid w:val="009276AB"/>
    <w:rsid w:val="009422C3"/>
    <w:rsid w:val="009438C3"/>
    <w:rsid w:val="00947623"/>
    <w:rsid w:val="00954355"/>
    <w:rsid w:val="009614B8"/>
    <w:rsid w:val="0096794C"/>
    <w:rsid w:val="00972C66"/>
    <w:rsid w:val="00973DCD"/>
    <w:rsid w:val="00984084"/>
    <w:rsid w:val="00987F8F"/>
    <w:rsid w:val="00995EE6"/>
    <w:rsid w:val="009A3B8B"/>
    <w:rsid w:val="009A51C4"/>
    <w:rsid w:val="009A7D98"/>
    <w:rsid w:val="009B5A74"/>
    <w:rsid w:val="009B7339"/>
    <w:rsid w:val="00A0245D"/>
    <w:rsid w:val="00A41703"/>
    <w:rsid w:val="00A52AD0"/>
    <w:rsid w:val="00A53D53"/>
    <w:rsid w:val="00A60D94"/>
    <w:rsid w:val="00A628CA"/>
    <w:rsid w:val="00A6413E"/>
    <w:rsid w:val="00A90129"/>
    <w:rsid w:val="00A90863"/>
    <w:rsid w:val="00A95030"/>
    <w:rsid w:val="00AA1074"/>
    <w:rsid w:val="00AA2591"/>
    <w:rsid w:val="00AC42D9"/>
    <w:rsid w:val="00AD4632"/>
    <w:rsid w:val="00AE3782"/>
    <w:rsid w:val="00AE4186"/>
    <w:rsid w:val="00AF1C52"/>
    <w:rsid w:val="00B035E6"/>
    <w:rsid w:val="00B16A85"/>
    <w:rsid w:val="00B17F37"/>
    <w:rsid w:val="00B40B60"/>
    <w:rsid w:val="00B50C0B"/>
    <w:rsid w:val="00B57109"/>
    <w:rsid w:val="00B70C8D"/>
    <w:rsid w:val="00B8583D"/>
    <w:rsid w:val="00B90A6E"/>
    <w:rsid w:val="00BA045C"/>
    <w:rsid w:val="00BA105E"/>
    <w:rsid w:val="00BB3948"/>
    <w:rsid w:val="00BD5A13"/>
    <w:rsid w:val="00BE569A"/>
    <w:rsid w:val="00BE754D"/>
    <w:rsid w:val="00BF1367"/>
    <w:rsid w:val="00C10674"/>
    <w:rsid w:val="00C23818"/>
    <w:rsid w:val="00C62C04"/>
    <w:rsid w:val="00C8261F"/>
    <w:rsid w:val="00C87AE0"/>
    <w:rsid w:val="00C90273"/>
    <w:rsid w:val="00CC081C"/>
    <w:rsid w:val="00CD49AC"/>
    <w:rsid w:val="00CE4CD4"/>
    <w:rsid w:val="00D35B04"/>
    <w:rsid w:val="00D4528D"/>
    <w:rsid w:val="00D476EE"/>
    <w:rsid w:val="00D6251C"/>
    <w:rsid w:val="00D643F3"/>
    <w:rsid w:val="00D67CA7"/>
    <w:rsid w:val="00D706FC"/>
    <w:rsid w:val="00D71C0F"/>
    <w:rsid w:val="00D76B23"/>
    <w:rsid w:val="00D76E0D"/>
    <w:rsid w:val="00D86E3B"/>
    <w:rsid w:val="00DB34FB"/>
    <w:rsid w:val="00DC07DE"/>
    <w:rsid w:val="00DD7E63"/>
    <w:rsid w:val="00DF213A"/>
    <w:rsid w:val="00E66F8E"/>
    <w:rsid w:val="00E757AA"/>
    <w:rsid w:val="00E92A6A"/>
    <w:rsid w:val="00E92B3B"/>
    <w:rsid w:val="00E93636"/>
    <w:rsid w:val="00EA3D76"/>
    <w:rsid w:val="00EB6E6A"/>
    <w:rsid w:val="00EC3BFE"/>
    <w:rsid w:val="00EC3C9D"/>
    <w:rsid w:val="00ED60AB"/>
    <w:rsid w:val="00EF6532"/>
    <w:rsid w:val="00F03035"/>
    <w:rsid w:val="00F143D3"/>
    <w:rsid w:val="00F34A35"/>
    <w:rsid w:val="00F37E26"/>
    <w:rsid w:val="00F4773E"/>
    <w:rsid w:val="00F61A84"/>
    <w:rsid w:val="00F61CE1"/>
    <w:rsid w:val="00F743DF"/>
    <w:rsid w:val="00F749E5"/>
    <w:rsid w:val="00F81890"/>
    <w:rsid w:val="00FB6CC9"/>
    <w:rsid w:val="00FC2302"/>
    <w:rsid w:val="00FE4198"/>
    <w:rsid w:val="00FF35BD"/>
    <w:rsid w:val="00FF5951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4801A9"/>
  <w15:chartTrackingRefBased/>
  <w15:docId w15:val="{5D06580C-4A61-414E-B387-3C44C875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1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71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C0A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0A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0A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A7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92F5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F1C52"/>
    <w:rPr>
      <w:b/>
      <w:bCs/>
    </w:rPr>
  </w:style>
  <w:style w:type="character" w:styleId="Emphasis">
    <w:name w:val="Emphasis"/>
    <w:basedOn w:val="DefaultParagraphFont"/>
    <w:uiPriority w:val="20"/>
    <w:qFormat/>
    <w:rsid w:val="00AF1C52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476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476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476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DC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C63D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961AA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755D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4615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13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F1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367"/>
  </w:style>
  <w:style w:type="paragraph" w:styleId="Footer">
    <w:name w:val="footer"/>
    <w:basedOn w:val="Normal"/>
    <w:link w:val="FooterChar"/>
    <w:uiPriority w:val="99"/>
    <w:unhideWhenUsed/>
    <w:rsid w:val="00BF1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521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2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28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5984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7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1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139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0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35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5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2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8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8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3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64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0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8330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da.gov/news-events/press-announcements/fda-approves-first-targeted-treatment-patients-cholangiocarcinoma-cancer-bile-du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4025526/" TargetMode="External"/><Relationship Id="rId13" Type="http://schemas.openxmlformats.org/officeDocument/2006/relationships/hyperlink" Target="https://pubmed.ncbi.nlm.nih.gov/24837095/" TargetMode="External"/><Relationship Id="rId18" Type="http://schemas.openxmlformats.org/officeDocument/2006/relationships/hyperlink" Target="https://pubmed.ncbi.nlm.nih.gov/32315352/" TargetMode="External"/><Relationship Id="rId3" Type="http://schemas.openxmlformats.org/officeDocument/2006/relationships/hyperlink" Target="https://pubmed.ncbi.nlm.nih.gov/29632056/" TargetMode="External"/><Relationship Id="rId21" Type="http://schemas.openxmlformats.org/officeDocument/2006/relationships/hyperlink" Target="https://pubmed.ncbi.nlm.nih.gov/32853681/" TargetMode="External"/><Relationship Id="rId7" Type="http://schemas.openxmlformats.org/officeDocument/2006/relationships/hyperlink" Target="https://pubmed.ncbi.nlm.nih.gov/30831002/" TargetMode="External"/><Relationship Id="rId12" Type="http://schemas.openxmlformats.org/officeDocument/2006/relationships/hyperlink" Target="https://pubmed.ncbi.nlm.nih.gov/24122810/" TargetMode="External"/><Relationship Id="rId17" Type="http://schemas.openxmlformats.org/officeDocument/2006/relationships/hyperlink" Target="https://pubmed.ncbi.nlm.nih.gov/27747092/" TargetMode="External"/><Relationship Id="rId2" Type="http://schemas.openxmlformats.org/officeDocument/2006/relationships/hyperlink" Target="https://pubmed.ncbi.nlm.nih.gov/32129902/" TargetMode="External"/><Relationship Id="rId16" Type="http://schemas.openxmlformats.org/officeDocument/2006/relationships/hyperlink" Target="https://pubmed.ncbi.nlm.nih.gov/28034880/" TargetMode="External"/><Relationship Id="rId20" Type="http://schemas.openxmlformats.org/officeDocument/2006/relationships/hyperlink" Target="https://pubmed.ncbi.nlm.nih.gov/32203698/" TargetMode="External"/><Relationship Id="rId1" Type="http://schemas.openxmlformats.org/officeDocument/2006/relationships/hyperlink" Target="https://www.accessdata.fda.gov/drugsatfda_docs/label/2020/213736s000lbl.pdf" TargetMode="External"/><Relationship Id="rId6" Type="http://schemas.openxmlformats.org/officeDocument/2006/relationships/hyperlink" Target="https://pubmed.ncbi.nlm.nih.gov/32606456/" TargetMode="External"/><Relationship Id="rId11" Type="http://schemas.openxmlformats.org/officeDocument/2006/relationships/hyperlink" Target="https://pubmed.ncbi.nlm.nih.gov/28297679/" TargetMode="External"/><Relationship Id="rId5" Type="http://schemas.openxmlformats.org/officeDocument/2006/relationships/hyperlink" Target="https://pubmed.ncbi.nlm.nih.gov/30910538/" TargetMode="External"/><Relationship Id="rId15" Type="http://schemas.openxmlformats.org/officeDocument/2006/relationships/hyperlink" Target="https://pubmed.ncbi.nlm.nih.gov/27622582/" TargetMode="External"/><Relationship Id="rId10" Type="http://schemas.openxmlformats.org/officeDocument/2006/relationships/hyperlink" Target="https://pubmed.ncbi.nlm.nih.gov/33798493/" TargetMode="External"/><Relationship Id="rId19" Type="http://schemas.openxmlformats.org/officeDocument/2006/relationships/hyperlink" Target="https://pubmed.ncbi.nlm.nih.gov/33034201/" TargetMode="External"/><Relationship Id="rId4" Type="http://schemas.openxmlformats.org/officeDocument/2006/relationships/hyperlink" Target="https://pubmed.ncbi.nlm.nih.gov/32359831/" TargetMode="External"/><Relationship Id="rId9" Type="http://schemas.openxmlformats.org/officeDocument/2006/relationships/hyperlink" Target="https://pubmed.ncbi.nlm.nih.gov/20375404/" TargetMode="External"/><Relationship Id="rId14" Type="http://schemas.openxmlformats.org/officeDocument/2006/relationships/hyperlink" Target="https://pubmed.ncbi.nlm.nih.gov/29848569/" TargetMode="External"/><Relationship Id="rId22" Type="http://schemas.openxmlformats.org/officeDocument/2006/relationships/hyperlink" Target="https://pubmed.ncbi.nlm.nih.gov/3337590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C0AFF-CDE1-4FE0-8FB9-1BB9C194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6544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W2O Group</dc:creator>
  <cp:keywords/>
  <dc:description/>
  <cp:lastModifiedBy>Catalina Loveman</cp:lastModifiedBy>
  <cp:revision>4</cp:revision>
  <dcterms:created xsi:type="dcterms:W3CDTF">2021-05-27T15:26:00Z</dcterms:created>
  <dcterms:modified xsi:type="dcterms:W3CDTF">2021-05-27T15:28:00Z</dcterms:modified>
</cp:coreProperties>
</file>