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470C4" w14:textId="77777777" w:rsidR="00336EAA" w:rsidRPr="00697301" w:rsidRDefault="00336EAA" w:rsidP="006D1DAE">
      <w:pPr>
        <w:spacing w:before="6" w:line="276" w:lineRule="auto"/>
        <w:ind w:left="720" w:right="1320"/>
        <w:rPr>
          <w:sz w:val="24"/>
          <w:szCs w:val="24"/>
        </w:rPr>
      </w:pPr>
    </w:p>
    <w:p w14:paraId="368704C4" w14:textId="77777777" w:rsidR="00336EAA" w:rsidRPr="00697301" w:rsidRDefault="00336EAA" w:rsidP="006D1DAE">
      <w:pPr>
        <w:spacing w:line="276" w:lineRule="auto"/>
        <w:ind w:left="720" w:right="1320"/>
        <w:rPr>
          <w:sz w:val="24"/>
          <w:szCs w:val="24"/>
        </w:rPr>
      </w:pPr>
    </w:p>
    <w:p w14:paraId="74CEACD1" w14:textId="1358AF42" w:rsidR="00336EAA" w:rsidRPr="00697301" w:rsidRDefault="00336EAA" w:rsidP="006D1DAE">
      <w:pPr>
        <w:spacing w:line="276" w:lineRule="auto"/>
        <w:ind w:left="720" w:right="1320"/>
        <w:rPr>
          <w:sz w:val="24"/>
          <w:szCs w:val="24"/>
        </w:rPr>
      </w:pPr>
    </w:p>
    <w:p w14:paraId="37C8B10F" w14:textId="77777777" w:rsidR="00336EAA" w:rsidRPr="00697301" w:rsidRDefault="00336EAA" w:rsidP="006D1DAE">
      <w:pPr>
        <w:spacing w:line="276" w:lineRule="auto"/>
        <w:ind w:left="720" w:right="1320"/>
        <w:rPr>
          <w:sz w:val="24"/>
          <w:szCs w:val="24"/>
        </w:rPr>
      </w:pPr>
    </w:p>
    <w:p w14:paraId="293D4BEA" w14:textId="3B610BFE" w:rsidR="00336EAA" w:rsidRPr="00D26C27" w:rsidRDefault="00A019DE" w:rsidP="006D1DAE">
      <w:pPr>
        <w:spacing w:before="8" w:line="276" w:lineRule="auto"/>
        <w:ind w:left="720" w:right="1320"/>
        <w:rPr>
          <w:rFonts w:ascii="Times New Roman" w:eastAsia="Times New Roman" w:hAnsi="Times New Roman" w:cs="Times New Roman"/>
          <w:b/>
          <w:sz w:val="24"/>
          <w:szCs w:val="24"/>
        </w:rPr>
      </w:pPr>
      <w:proofErr w:type="spellStart"/>
      <w:r>
        <w:rPr>
          <w:rFonts w:ascii="Times New Roman" w:hAnsi="Times New Roman"/>
          <w:b/>
          <w:spacing w:val="-4"/>
          <w:sz w:val="24"/>
          <w:szCs w:val="24"/>
        </w:rPr>
        <w:t>Braftovi</w:t>
      </w:r>
      <w:proofErr w:type="spellEnd"/>
      <w:r w:rsidR="00A37D88" w:rsidRPr="00697301">
        <w:rPr>
          <w:rFonts w:ascii="Times New Roman" w:hAnsi="Times New Roman"/>
          <w:b/>
          <w:spacing w:val="-4"/>
          <w:sz w:val="24"/>
          <w:szCs w:val="24"/>
        </w:rPr>
        <w:t>®</w:t>
      </w:r>
      <w:r w:rsidRPr="00A019DE">
        <w:rPr>
          <w:rFonts w:ascii="Times New Roman" w:hAnsi="Times New Roman"/>
          <w:b/>
          <w:spacing w:val="-4"/>
          <w:sz w:val="24"/>
          <w:szCs w:val="24"/>
        </w:rPr>
        <w:t xml:space="preserve"> </w:t>
      </w:r>
      <w:r w:rsidR="00FE74E8">
        <w:rPr>
          <w:rFonts w:ascii="Times New Roman" w:hAnsi="Times New Roman"/>
          <w:b/>
          <w:spacing w:val="-4"/>
          <w:sz w:val="24"/>
          <w:szCs w:val="24"/>
        </w:rPr>
        <w:t>(</w:t>
      </w:r>
      <w:proofErr w:type="spellStart"/>
      <w:r w:rsidR="00FE74E8">
        <w:rPr>
          <w:rFonts w:ascii="Times New Roman" w:hAnsi="Times New Roman"/>
          <w:b/>
          <w:spacing w:val="-4"/>
          <w:sz w:val="24"/>
          <w:szCs w:val="24"/>
        </w:rPr>
        <w:t>encorafenib</w:t>
      </w:r>
      <w:proofErr w:type="spellEnd"/>
      <w:r w:rsidR="00FE74E8">
        <w:rPr>
          <w:rFonts w:ascii="Times New Roman" w:hAnsi="Times New Roman"/>
          <w:b/>
          <w:spacing w:val="-4"/>
          <w:sz w:val="24"/>
          <w:szCs w:val="24"/>
        </w:rPr>
        <w:t xml:space="preserve">) </w:t>
      </w:r>
      <w:proofErr w:type="spellStart"/>
      <w:r>
        <w:rPr>
          <w:rFonts w:ascii="Times New Roman" w:hAnsi="Times New Roman"/>
          <w:b/>
          <w:spacing w:val="-4"/>
          <w:sz w:val="24"/>
          <w:szCs w:val="24"/>
        </w:rPr>
        <w:t>Mektovi</w:t>
      </w:r>
      <w:proofErr w:type="spellEnd"/>
      <w:r w:rsidRPr="00697301">
        <w:rPr>
          <w:rFonts w:ascii="Times New Roman" w:hAnsi="Times New Roman"/>
          <w:b/>
          <w:spacing w:val="-4"/>
          <w:sz w:val="24"/>
          <w:szCs w:val="24"/>
        </w:rPr>
        <w:t>®</w:t>
      </w:r>
      <w:r w:rsidRPr="00697301">
        <w:rPr>
          <w:rFonts w:ascii="Times New Roman" w:hAnsi="Times New Roman"/>
          <w:b/>
          <w:spacing w:val="2"/>
          <w:sz w:val="24"/>
          <w:szCs w:val="24"/>
        </w:rPr>
        <w:t xml:space="preserve"> </w:t>
      </w:r>
      <w:r w:rsidR="00A37D88" w:rsidRPr="00697301">
        <w:rPr>
          <w:rFonts w:ascii="Times New Roman" w:hAnsi="Times New Roman"/>
          <w:b/>
          <w:spacing w:val="2"/>
          <w:sz w:val="24"/>
          <w:szCs w:val="24"/>
        </w:rPr>
        <w:t xml:space="preserve"> </w:t>
      </w:r>
      <w:r>
        <w:rPr>
          <w:rFonts w:ascii="Times New Roman" w:hAnsi="Times New Roman"/>
          <w:b/>
          <w:spacing w:val="1"/>
          <w:sz w:val="24"/>
          <w:szCs w:val="24"/>
        </w:rPr>
        <w:t>(</w:t>
      </w:r>
      <w:proofErr w:type="spellStart"/>
      <w:r>
        <w:rPr>
          <w:rFonts w:ascii="Times New Roman" w:hAnsi="Times New Roman"/>
          <w:b/>
          <w:spacing w:val="1"/>
          <w:sz w:val="24"/>
          <w:szCs w:val="24"/>
        </w:rPr>
        <w:t>binimetinib</w:t>
      </w:r>
      <w:proofErr w:type="spellEnd"/>
      <w:r w:rsidR="00A37D88" w:rsidRPr="00D26C27">
        <w:rPr>
          <w:rFonts w:ascii="Times New Roman" w:hAnsi="Times New Roman"/>
          <w:b/>
          <w:spacing w:val="1"/>
          <w:sz w:val="24"/>
          <w:szCs w:val="24"/>
        </w:rPr>
        <w:t>)</w:t>
      </w:r>
      <w:r w:rsidR="00A37D88" w:rsidRPr="00D26C27">
        <w:rPr>
          <w:rFonts w:ascii="Times New Roman" w:hAnsi="Times New Roman"/>
          <w:b/>
          <w:spacing w:val="6"/>
          <w:sz w:val="24"/>
          <w:szCs w:val="24"/>
        </w:rPr>
        <w:t xml:space="preserve"> </w:t>
      </w:r>
    </w:p>
    <w:p w14:paraId="2F962414" w14:textId="77777777" w:rsidR="00336EAA" w:rsidRPr="00697301" w:rsidRDefault="00A37D88" w:rsidP="006D1DAE">
      <w:pPr>
        <w:pStyle w:val="Heading1"/>
        <w:spacing w:before="367" w:line="276" w:lineRule="auto"/>
        <w:ind w:left="720" w:right="1320"/>
        <w:rPr>
          <w:b w:val="0"/>
          <w:bCs w:val="0"/>
          <w:sz w:val="24"/>
          <w:szCs w:val="24"/>
        </w:rPr>
      </w:pPr>
      <w:r w:rsidRPr="00697301">
        <w:rPr>
          <w:sz w:val="24"/>
          <w:szCs w:val="24"/>
        </w:rPr>
        <w:t>Category</w:t>
      </w:r>
    </w:p>
    <w:p w14:paraId="2DF2E577" w14:textId="76C3110D" w:rsidR="00336EAA" w:rsidRPr="00697301" w:rsidRDefault="00A37D88" w:rsidP="006D1DAE">
      <w:pPr>
        <w:pStyle w:val="BodyText"/>
        <w:spacing w:before="324" w:line="276" w:lineRule="auto"/>
        <w:ind w:left="720" w:right="1320"/>
        <w:rPr>
          <w:sz w:val="24"/>
          <w:szCs w:val="24"/>
        </w:rPr>
      </w:pPr>
      <w:r w:rsidRPr="00697301">
        <w:rPr>
          <w:spacing w:val="-1"/>
          <w:sz w:val="24"/>
          <w:szCs w:val="24"/>
        </w:rPr>
        <w:t>Best</w:t>
      </w:r>
      <w:r w:rsidRPr="00697301">
        <w:rPr>
          <w:spacing w:val="22"/>
          <w:sz w:val="24"/>
          <w:szCs w:val="24"/>
        </w:rPr>
        <w:t xml:space="preserve"> </w:t>
      </w:r>
      <w:r w:rsidR="00A019DE">
        <w:rPr>
          <w:spacing w:val="-3"/>
          <w:sz w:val="24"/>
          <w:szCs w:val="24"/>
        </w:rPr>
        <w:t>Pharmaceutical</w:t>
      </w:r>
      <w:r w:rsidRPr="00697301">
        <w:rPr>
          <w:spacing w:val="22"/>
          <w:sz w:val="24"/>
          <w:szCs w:val="24"/>
        </w:rPr>
        <w:t xml:space="preserve"> </w:t>
      </w:r>
      <w:r w:rsidRPr="00697301">
        <w:rPr>
          <w:sz w:val="24"/>
          <w:szCs w:val="24"/>
        </w:rPr>
        <w:t>Agent</w:t>
      </w:r>
    </w:p>
    <w:p w14:paraId="5A59C3AC" w14:textId="77777777" w:rsidR="00336EAA" w:rsidRPr="00697301" w:rsidRDefault="00336EAA" w:rsidP="006D1DAE">
      <w:pPr>
        <w:spacing w:before="7" w:line="276" w:lineRule="auto"/>
        <w:ind w:left="720" w:right="1320"/>
        <w:rPr>
          <w:sz w:val="24"/>
          <w:szCs w:val="24"/>
        </w:rPr>
      </w:pPr>
    </w:p>
    <w:p w14:paraId="40B4753A"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Drug</w:t>
      </w:r>
      <w:r w:rsidRPr="00697301">
        <w:rPr>
          <w:spacing w:val="12"/>
          <w:sz w:val="24"/>
          <w:szCs w:val="24"/>
        </w:rPr>
        <w:t xml:space="preserve"> </w:t>
      </w:r>
      <w:r w:rsidR="00653C3C" w:rsidRPr="00697301">
        <w:rPr>
          <w:spacing w:val="1"/>
          <w:sz w:val="24"/>
          <w:szCs w:val="24"/>
        </w:rPr>
        <w:t>or</w:t>
      </w:r>
      <w:r w:rsidRPr="00697301">
        <w:rPr>
          <w:spacing w:val="17"/>
          <w:sz w:val="24"/>
          <w:szCs w:val="24"/>
        </w:rPr>
        <w:t xml:space="preserve"> </w:t>
      </w:r>
      <w:r w:rsidRPr="00697301">
        <w:rPr>
          <w:spacing w:val="1"/>
          <w:sz w:val="24"/>
          <w:szCs w:val="24"/>
        </w:rPr>
        <w:t>Device</w:t>
      </w:r>
      <w:r w:rsidRPr="00697301">
        <w:rPr>
          <w:spacing w:val="18"/>
          <w:sz w:val="24"/>
          <w:szCs w:val="24"/>
        </w:rPr>
        <w:t xml:space="preserve"> </w:t>
      </w:r>
      <w:r w:rsidRPr="00697301">
        <w:rPr>
          <w:spacing w:val="-2"/>
          <w:sz w:val="24"/>
          <w:szCs w:val="24"/>
        </w:rPr>
        <w:t>Name</w:t>
      </w:r>
    </w:p>
    <w:p w14:paraId="66020071" w14:textId="77777777" w:rsidR="00A7400D" w:rsidRPr="00697301" w:rsidRDefault="00A7400D" w:rsidP="006D1DAE">
      <w:pPr>
        <w:spacing w:before="8" w:line="276" w:lineRule="auto"/>
        <w:ind w:left="720" w:right="1320"/>
        <w:rPr>
          <w:rFonts w:ascii="Times New Roman" w:hAnsi="Times New Roman"/>
          <w:b/>
          <w:spacing w:val="-4"/>
          <w:sz w:val="24"/>
          <w:szCs w:val="24"/>
        </w:rPr>
      </w:pPr>
    </w:p>
    <w:p w14:paraId="162EF170" w14:textId="3BD93633" w:rsidR="00A019DE" w:rsidRPr="00A019DE" w:rsidRDefault="00A019DE" w:rsidP="00A019DE">
      <w:pPr>
        <w:spacing w:before="8" w:line="276" w:lineRule="auto"/>
        <w:ind w:left="720" w:right="1320"/>
        <w:rPr>
          <w:rFonts w:ascii="Times New Roman" w:eastAsia="Times New Roman" w:hAnsi="Times New Roman" w:cs="Times New Roman"/>
          <w:bCs/>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r w:rsidR="00FE74E8">
        <w:rPr>
          <w:rFonts w:ascii="Times New Roman" w:hAnsi="Times New Roman"/>
          <w:bCs/>
          <w:spacing w:val="-4"/>
          <w:sz w:val="24"/>
          <w:szCs w:val="24"/>
        </w:rPr>
        <w:t>(</w:t>
      </w:r>
      <w:proofErr w:type="spellStart"/>
      <w:r w:rsidR="00FE74E8">
        <w:rPr>
          <w:rFonts w:ascii="Times New Roman" w:hAnsi="Times New Roman"/>
          <w:bCs/>
          <w:spacing w:val="-4"/>
          <w:sz w:val="24"/>
          <w:szCs w:val="24"/>
        </w:rPr>
        <w:t>encorafenib</w:t>
      </w:r>
      <w:proofErr w:type="spellEnd"/>
      <w:r w:rsidR="00FE74E8">
        <w:rPr>
          <w:rFonts w:ascii="Times New Roman" w:hAnsi="Times New Roman"/>
          <w:bCs/>
          <w:spacing w:val="-4"/>
          <w:sz w:val="24"/>
          <w:szCs w:val="24"/>
        </w:rPr>
        <w:t>)</w:t>
      </w:r>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r w:rsidRPr="00A019DE">
        <w:rPr>
          <w:rFonts w:ascii="Times New Roman" w:hAnsi="Times New Roman"/>
          <w:bCs/>
          <w:spacing w:val="1"/>
          <w:sz w:val="24"/>
          <w:szCs w:val="24"/>
        </w:rPr>
        <w:t>(</w:t>
      </w:r>
      <w:proofErr w:type="spellStart"/>
      <w:r w:rsidRPr="00A019DE">
        <w:rPr>
          <w:rFonts w:ascii="Times New Roman" w:hAnsi="Times New Roman"/>
          <w:bCs/>
          <w:spacing w:val="1"/>
          <w:sz w:val="24"/>
          <w:szCs w:val="24"/>
        </w:rPr>
        <w:t>binimetinib</w:t>
      </w:r>
      <w:proofErr w:type="spellEnd"/>
      <w:r w:rsidRPr="00A019DE">
        <w:rPr>
          <w:rFonts w:ascii="Times New Roman" w:hAnsi="Times New Roman"/>
          <w:bCs/>
          <w:spacing w:val="1"/>
          <w:sz w:val="24"/>
          <w:szCs w:val="24"/>
        </w:rPr>
        <w:t>)</w:t>
      </w:r>
      <w:r w:rsidRPr="00A019DE">
        <w:rPr>
          <w:rFonts w:ascii="Times New Roman" w:hAnsi="Times New Roman"/>
          <w:bCs/>
          <w:spacing w:val="6"/>
          <w:sz w:val="24"/>
          <w:szCs w:val="24"/>
        </w:rPr>
        <w:t xml:space="preserve"> </w:t>
      </w:r>
    </w:p>
    <w:p w14:paraId="77FCA28A" w14:textId="77777777" w:rsidR="00336EAA" w:rsidRPr="00697301" w:rsidRDefault="00336EAA" w:rsidP="006D1DAE">
      <w:pPr>
        <w:spacing w:before="7" w:line="276" w:lineRule="auto"/>
        <w:ind w:left="720" w:right="1320"/>
        <w:rPr>
          <w:sz w:val="24"/>
          <w:szCs w:val="24"/>
        </w:rPr>
      </w:pPr>
    </w:p>
    <w:p w14:paraId="31F49021" w14:textId="77777777" w:rsidR="00336EAA" w:rsidRPr="00697301" w:rsidRDefault="00A37D88" w:rsidP="006D1DAE">
      <w:pPr>
        <w:pStyle w:val="Heading1"/>
        <w:spacing w:line="276" w:lineRule="auto"/>
        <w:ind w:left="720" w:right="1320"/>
        <w:rPr>
          <w:b w:val="0"/>
          <w:bCs w:val="0"/>
          <w:sz w:val="24"/>
          <w:szCs w:val="24"/>
        </w:rPr>
      </w:pPr>
      <w:r w:rsidRPr="00697301">
        <w:rPr>
          <w:spacing w:val="-3"/>
          <w:sz w:val="24"/>
          <w:szCs w:val="24"/>
        </w:rPr>
        <w:t>Compound</w:t>
      </w:r>
      <w:r w:rsidRPr="00697301">
        <w:rPr>
          <w:spacing w:val="14"/>
          <w:sz w:val="24"/>
          <w:szCs w:val="24"/>
        </w:rPr>
        <w:t xml:space="preserve"> </w:t>
      </w:r>
      <w:r w:rsidRPr="00697301">
        <w:rPr>
          <w:sz w:val="24"/>
          <w:szCs w:val="24"/>
        </w:rPr>
        <w:t>Technical</w:t>
      </w:r>
      <w:r w:rsidRPr="00697301">
        <w:rPr>
          <w:spacing w:val="28"/>
          <w:sz w:val="24"/>
          <w:szCs w:val="24"/>
        </w:rPr>
        <w:t xml:space="preserve"> </w:t>
      </w:r>
      <w:r w:rsidRPr="00697301">
        <w:rPr>
          <w:spacing w:val="-2"/>
          <w:sz w:val="24"/>
          <w:szCs w:val="24"/>
        </w:rPr>
        <w:t>Name</w:t>
      </w:r>
    </w:p>
    <w:p w14:paraId="0E4A0F8B" w14:textId="77777777" w:rsidR="00913553" w:rsidRDefault="00913553" w:rsidP="006D1DAE">
      <w:pPr>
        <w:spacing w:before="7" w:line="276" w:lineRule="auto"/>
        <w:ind w:left="720" w:right="1320"/>
        <w:rPr>
          <w:rFonts w:ascii="Times New Roman" w:hAnsi="Times New Roman"/>
          <w:spacing w:val="1"/>
          <w:sz w:val="24"/>
          <w:szCs w:val="24"/>
        </w:rPr>
      </w:pPr>
    </w:p>
    <w:p w14:paraId="06A01443" w14:textId="3480C4B7" w:rsidR="00913553" w:rsidRPr="00A019DE" w:rsidRDefault="00CC00F6" w:rsidP="006D1DAE">
      <w:pPr>
        <w:spacing w:before="7" w:line="276" w:lineRule="auto"/>
        <w:ind w:left="720" w:right="1320"/>
        <w:rPr>
          <w:rFonts w:ascii="Times New Roman" w:hAnsi="Times New Roman"/>
          <w:bCs/>
          <w:spacing w:val="1"/>
          <w:sz w:val="24"/>
          <w:szCs w:val="24"/>
        </w:rPr>
      </w:pPr>
      <w:proofErr w:type="spellStart"/>
      <w:r>
        <w:rPr>
          <w:rFonts w:ascii="Times New Roman" w:hAnsi="Times New Roman"/>
          <w:bCs/>
          <w:spacing w:val="1"/>
          <w:sz w:val="24"/>
          <w:szCs w:val="24"/>
        </w:rPr>
        <w:t>e</w:t>
      </w:r>
      <w:r w:rsidR="00A019DE" w:rsidRPr="00A019DE">
        <w:rPr>
          <w:rFonts w:ascii="Times New Roman" w:hAnsi="Times New Roman"/>
          <w:bCs/>
          <w:spacing w:val="1"/>
          <w:sz w:val="24"/>
          <w:szCs w:val="24"/>
        </w:rPr>
        <w:t>ncorafinib</w:t>
      </w:r>
      <w:proofErr w:type="spellEnd"/>
      <w:r w:rsidR="00FE74E8">
        <w:rPr>
          <w:rFonts w:ascii="Times New Roman" w:hAnsi="Times New Roman"/>
          <w:bCs/>
          <w:spacing w:val="1"/>
          <w:sz w:val="24"/>
          <w:szCs w:val="24"/>
        </w:rPr>
        <w:t>,</w:t>
      </w:r>
      <w:r w:rsidR="00DA422E">
        <w:rPr>
          <w:rFonts w:ascii="Times New Roman" w:hAnsi="Times New Roman"/>
          <w:bCs/>
          <w:spacing w:val="1"/>
          <w:sz w:val="24"/>
          <w:szCs w:val="24"/>
        </w:rPr>
        <w:t xml:space="preserve"> </w:t>
      </w:r>
      <w:proofErr w:type="spellStart"/>
      <w:r w:rsidR="00DA422E">
        <w:rPr>
          <w:rFonts w:ascii="Times New Roman" w:hAnsi="Times New Roman"/>
          <w:bCs/>
          <w:spacing w:val="1"/>
          <w:sz w:val="24"/>
          <w:szCs w:val="24"/>
        </w:rPr>
        <w:t>bin</w:t>
      </w:r>
      <w:r w:rsidR="0029159B">
        <w:rPr>
          <w:rFonts w:ascii="Times New Roman" w:hAnsi="Times New Roman"/>
          <w:bCs/>
          <w:spacing w:val="1"/>
          <w:sz w:val="24"/>
          <w:szCs w:val="24"/>
        </w:rPr>
        <w:t>imetinib</w:t>
      </w:r>
      <w:proofErr w:type="spellEnd"/>
    </w:p>
    <w:p w14:paraId="0D2F8C1E" w14:textId="77777777" w:rsidR="00A019DE" w:rsidRPr="00697301" w:rsidRDefault="00A019DE" w:rsidP="006D1DAE">
      <w:pPr>
        <w:spacing w:before="7" w:line="276" w:lineRule="auto"/>
        <w:ind w:left="720" w:right="1320"/>
        <w:rPr>
          <w:sz w:val="24"/>
          <w:szCs w:val="24"/>
        </w:rPr>
      </w:pPr>
    </w:p>
    <w:p w14:paraId="4636057D" w14:textId="77777777" w:rsidR="00336EAA" w:rsidRPr="00697301" w:rsidRDefault="00A37D88" w:rsidP="006D1DAE">
      <w:pPr>
        <w:pStyle w:val="Heading1"/>
        <w:spacing w:line="276" w:lineRule="auto"/>
        <w:ind w:left="720" w:right="1320"/>
        <w:rPr>
          <w:spacing w:val="-2"/>
          <w:sz w:val="24"/>
          <w:szCs w:val="24"/>
        </w:rPr>
      </w:pPr>
      <w:r w:rsidRPr="00697301">
        <w:rPr>
          <w:spacing w:val="-1"/>
          <w:sz w:val="24"/>
          <w:szCs w:val="24"/>
        </w:rPr>
        <w:t>Trade</w:t>
      </w:r>
      <w:r w:rsidRPr="00697301">
        <w:rPr>
          <w:spacing w:val="25"/>
          <w:sz w:val="24"/>
          <w:szCs w:val="24"/>
        </w:rPr>
        <w:t xml:space="preserve"> </w:t>
      </w:r>
      <w:r w:rsidRPr="00697301">
        <w:rPr>
          <w:spacing w:val="-2"/>
          <w:sz w:val="24"/>
          <w:szCs w:val="24"/>
        </w:rPr>
        <w:t>Name</w:t>
      </w:r>
    </w:p>
    <w:p w14:paraId="217D5A43" w14:textId="77777777" w:rsidR="00A7400D" w:rsidRPr="00697301" w:rsidRDefault="00A7400D" w:rsidP="006D1DAE">
      <w:pPr>
        <w:pStyle w:val="Heading1"/>
        <w:spacing w:line="276" w:lineRule="auto"/>
        <w:ind w:left="720" w:right="1320"/>
        <w:rPr>
          <w:b w:val="0"/>
          <w:bCs w:val="0"/>
          <w:sz w:val="24"/>
          <w:szCs w:val="24"/>
        </w:rPr>
      </w:pPr>
    </w:p>
    <w:p w14:paraId="60FC8B9D" w14:textId="20D8C2A1" w:rsidR="00A7400D" w:rsidRPr="00A019DE" w:rsidRDefault="00A019DE" w:rsidP="006D1DAE">
      <w:pPr>
        <w:spacing w:before="7" w:line="276" w:lineRule="auto"/>
        <w:ind w:left="720" w:right="1320"/>
        <w:rPr>
          <w:rFonts w:ascii="Times New Roman" w:hAnsi="Times New Roman"/>
          <w:spacing w:val="-4"/>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p>
    <w:p w14:paraId="5384E69E" w14:textId="77777777" w:rsidR="00913553" w:rsidRPr="00697301" w:rsidRDefault="00913553" w:rsidP="006D1DAE">
      <w:pPr>
        <w:spacing w:before="7" w:line="276" w:lineRule="auto"/>
        <w:ind w:left="720" w:right="1320"/>
        <w:rPr>
          <w:sz w:val="24"/>
          <w:szCs w:val="24"/>
        </w:rPr>
      </w:pPr>
    </w:p>
    <w:p w14:paraId="2C901A69"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Date</w:t>
      </w:r>
      <w:r w:rsidRPr="00697301">
        <w:rPr>
          <w:spacing w:val="20"/>
          <w:sz w:val="24"/>
          <w:szCs w:val="24"/>
        </w:rPr>
        <w:t xml:space="preserve"> </w:t>
      </w:r>
      <w:r w:rsidR="009106E7" w:rsidRPr="00697301">
        <w:rPr>
          <w:spacing w:val="1"/>
          <w:sz w:val="24"/>
          <w:szCs w:val="24"/>
        </w:rPr>
        <w:t>o</w:t>
      </w:r>
      <w:r w:rsidRPr="00697301">
        <w:rPr>
          <w:spacing w:val="1"/>
          <w:sz w:val="24"/>
          <w:szCs w:val="24"/>
        </w:rPr>
        <w:t>f</w:t>
      </w:r>
      <w:r w:rsidRPr="00697301">
        <w:rPr>
          <w:spacing w:val="15"/>
          <w:sz w:val="24"/>
          <w:szCs w:val="24"/>
        </w:rPr>
        <w:t xml:space="preserve"> </w:t>
      </w:r>
      <w:r w:rsidRPr="00697301">
        <w:rPr>
          <w:spacing w:val="-2"/>
          <w:sz w:val="24"/>
          <w:szCs w:val="24"/>
        </w:rPr>
        <w:t>Approval</w:t>
      </w:r>
    </w:p>
    <w:p w14:paraId="2F51EDE9" w14:textId="2B40548E" w:rsidR="00336EAA" w:rsidRPr="00697301" w:rsidRDefault="00A019DE" w:rsidP="006D1DAE">
      <w:pPr>
        <w:pStyle w:val="BodyText"/>
        <w:spacing w:before="324" w:line="276" w:lineRule="auto"/>
        <w:ind w:left="720" w:right="1320"/>
        <w:rPr>
          <w:sz w:val="24"/>
          <w:szCs w:val="24"/>
        </w:rPr>
      </w:pPr>
      <w:r>
        <w:rPr>
          <w:spacing w:val="-2"/>
          <w:sz w:val="24"/>
          <w:szCs w:val="24"/>
        </w:rPr>
        <w:t>June 27, 2018</w:t>
      </w:r>
    </w:p>
    <w:p w14:paraId="7520CD39" w14:textId="77777777" w:rsidR="00336EAA" w:rsidRPr="00697301" w:rsidRDefault="00336EAA" w:rsidP="006D1DAE">
      <w:pPr>
        <w:spacing w:before="7" w:line="276" w:lineRule="auto"/>
        <w:ind w:left="720" w:right="1320"/>
        <w:rPr>
          <w:sz w:val="24"/>
          <w:szCs w:val="24"/>
        </w:rPr>
      </w:pPr>
    </w:p>
    <w:p w14:paraId="066DEBC9" w14:textId="77777777" w:rsidR="00336EAA" w:rsidRPr="00697301" w:rsidRDefault="00A37D88" w:rsidP="006D1DAE">
      <w:pPr>
        <w:pStyle w:val="Heading1"/>
        <w:spacing w:line="276" w:lineRule="auto"/>
        <w:ind w:left="720" w:right="1320"/>
        <w:rPr>
          <w:b w:val="0"/>
          <w:bCs w:val="0"/>
          <w:sz w:val="24"/>
          <w:szCs w:val="24"/>
        </w:rPr>
      </w:pPr>
      <w:r w:rsidRPr="00697301">
        <w:rPr>
          <w:sz w:val="24"/>
          <w:szCs w:val="24"/>
        </w:rPr>
        <w:t>Therapeutic</w:t>
      </w:r>
      <w:r w:rsidRPr="00697301">
        <w:rPr>
          <w:spacing w:val="41"/>
          <w:sz w:val="24"/>
          <w:szCs w:val="24"/>
        </w:rPr>
        <w:t xml:space="preserve"> </w:t>
      </w:r>
      <w:r w:rsidRPr="00697301">
        <w:rPr>
          <w:spacing w:val="1"/>
          <w:sz w:val="24"/>
          <w:szCs w:val="24"/>
        </w:rPr>
        <w:t>Categories</w:t>
      </w:r>
    </w:p>
    <w:p w14:paraId="41FB3D09" w14:textId="1D6B5C37" w:rsidR="00336EAA" w:rsidRPr="00913553" w:rsidRDefault="00A019DE" w:rsidP="006D1DAE">
      <w:pPr>
        <w:pStyle w:val="BodyText"/>
        <w:spacing w:before="324" w:line="276" w:lineRule="auto"/>
        <w:ind w:left="720" w:right="1320"/>
        <w:rPr>
          <w:rFonts w:cs="Times New Roman"/>
          <w:sz w:val="24"/>
          <w:szCs w:val="24"/>
        </w:rPr>
      </w:pPr>
      <w:r>
        <w:rPr>
          <w:rFonts w:cs="Times New Roman"/>
          <w:spacing w:val="-4"/>
          <w:sz w:val="24"/>
          <w:szCs w:val="24"/>
        </w:rPr>
        <w:t>Cancer</w:t>
      </w:r>
    </w:p>
    <w:p w14:paraId="5E6152E4" w14:textId="77777777" w:rsidR="00336EAA" w:rsidRPr="00697301" w:rsidRDefault="00336EAA" w:rsidP="006D1DAE">
      <w:pPr>
        <w:spacing w:before="7" w:line="276" w:lineRule="auto"/>
        <w:ind w:left="720" w:right="1320"/>
        <w:rPr>
          <w:sz w:val="24"/>
          <w:szCs w:val="24"/>
        </w:rPr>
      </w:pPr>
    </w:p>
    <w:p w14:paraId="56B5DFC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Indications</w:t>
      </w:r>
    </w:p>
    <w:p w14:paraId="1A55AA4F" w14:textId="77777777" w:rsidR="00A7400D" w:rsidRPr="00A019DE" w:rsidRDefault="00A7400D" w:rsidP="006D1DAE">
      <w:pPr>
        <w:spacing w:before="7" w:line="276" w:lineRule="auto"/>
        <w:ind w:left="720" w:right="1320"/>
        <w:rPr>
          <w:rFonts w:ascii="Times New Roman" w:eastAsia="Times New Roman" w:hAnsi="Times New Roman" w:cs="Times New Roman"/>
          <w:spacing w:val="4"/>
          <w:sz w:val="24"/>
          <w:szCs w:val="24"/>
        </w:rPr>
      </w:pPr>
    </w:p>
    <w:p w14:paraId="3A76BAA1" w14:textId="24DC3EAE" w:rsidR="00D26C27" w:rsidRDefault="00A019DE" w:rsidP="00D26C27">
      <w:pPr>
        <w:spacing w:before="7" w:line="276" w:lineRule="auto"/>
        <w:ind w:left="720" w:right="1320"/>
        <w:rPr>
          <w:rFonts w:ascii="Times New Roman" w:hAnsi="Times New Roman" w:cs="Times New Roman"/>
          <w:color w:val="333333"/>
          <w:sz w:val="24"/>
          <w:szCs w:val="24"/>
          <w:shd w:val="clear" w:color="auto" w:fill="FFFFFF"/>
        </w:rPr>
      </w:pPr>
      <w:r w:rsidRPr="00A019DE">
        <w:rPr>
          <w:rFonts w:ascii="Times New Roman" w:hAnsi="Times New Roman" w:cs="Times New Roman"/>
          <w:color w:val="333333"/>
          <w:sz w:val="24"/>
          <w:szCs w:val="24"/>
          <w:shd w:val="clear" w:color="auto" w:fill="FFFFFF"/>
        </w:rPr>
        <w:t xml:space="preserve">For use in </w:t>
      </w:r>
      <w:r w:rsidR="00CC00F6">
        <w:rPr>
          <w:rFonts w:ascii="Times New Roman" w:hAnsi="Times New Roman" w:cs="Times New Roman"/>
          <w:color w:val="333333"/>
          <w:sz w:val="24"/>
          <w:szCs w:val="24"/>
          <w:shd w:val="clear" w:color="auto" w:fill="FFFFFF"/>
        </w:rPr>
        <w:t>combination</w:t>
      </w:r>
      <w:r w:rsidRPr="00A019DE">
        <w:rPr>
          <w:rFonts w:ascii="Times New Roman" w:hAnsi="Times New Roman" w:cs="Times New Roman"/>
          <w:color w:val="333333"/>
          <w:sz w:val="24"/>
          <w:szCs w:val="24"/>
          <w:shd w:val="clear" w:color="auto" w:fill="FFFFFF"/>
        </w:rPr>
        <w:t xml:space="preserve"> in patients with unresectable or metastatic melanoma with a BRAF V600E or V600K mutation, as detected by an FDA-approved test</w:t>
      </w:r>
      <w:r w:rsidR="007D2791">
        <w:rPr>
          <w:rFonts w:ascii="Times New Roman" w:hAnsi="Times New Roman" w:cs="Times New Roman"/>
          <w:color w:val="333333"/>
          <w:sz w:val="24"/>
          <w:szCs w:val="24"/>
          <w:shd w:val="clear" w:color="auto" w:fill="FFFFFF"/>
        </w:rPr>
        <w:t>.</w:t>
      </w:r>
    </w:p>
    <w:p w14:paraId="3DBEEBAE" w14:textId="77777777" w:rsidR="00521BD0" w:rsidRPr="00A019DE" w:rsidRDefault="00521BD0" w:rsidP="00D26C27">
      <w:pPr>
        <w:spacing w:before="7" w:line="276" w:lineRule="auto"/>
        <w:ind w:left="720" w:right="1320"/>
        <w:rPr>
          <w:rFonts w:ascii="Times New Roman" w:hAnsi="Times New Roman" w:cs="Times New Roman"/>
          <w:spacing w:val="-4"/>
          <w:sz w:val="24"/>
          <w:szCs w:val="24"/>
        </w:rPr>
      </w:pPr>
    </w:p>
    <w:p w14:paraId="2B08A57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Background</w:t>
      </w:r>
    </w:p>
    <w:p w14:paraId="05BF73FC" w14:textId="77777777" w:rsidR="00572A23" w:rsidRPr="00697301" w:rsidRDefault="00572A23" w:rsidP="006D1DAE">
      <w:pPr>
        <w:spacing w:before="8" w:line="276" w:lineRule="auto"/>
        <w:ind w:left="720" w:right="1320"/>
        <w:rPr>
          <w:rFonts w:ascii="Times New Roman" w:hAnsi="Times New Roman"/>
          <w:spacing w:val="-4"/>
          <w:sz w:val="24"/>
          <w:szCs w:val="24"/>
        </w:rPr>
      </w:pPr>
    </w:p>
    <w:p w14:paraId="278F9903" w14:textId="5B4D84CB" w:rsidR="007315F7" w:rsidRDefault="005E0AED" w:rsidP="00A4016E">
      <w:pPr>
        <w:spacing w:before="8" w:line="276" w:lineRule="auto"/>
        <w:ind w:left="720" w:right="1320"/>
        <w:jc w:val="both"/>
        <w:rPr>
          <w:rFonts w:ascii="Times New Roman" w:eastAsia="Times New Roman" w:hAnsi="Times New Roman" w:cs="Times New Roman"/>
          <w:sz w:val="24"/>
          <w:szCs w:val="24"/>
        </w:rPr>
      </w:pPr>
      <w:r w:rsidRPr="03D624AA">
        <w:rPr>
          <w:rFonts w:ascii="Times New Roman" w:eastAsia="Times New Roman" w:hAnsi="Times New Roman" w:cs="Times New Roman"/>
          <w:sz w:val="24"/>
          <w:szCs w:val="24"/>
        </w:rPr>
        <w:t>Melanoma</w:t>
      </w:r>
      <w:r w:rsidR="00071618" w:rsidRPr="03D624AA">
        <w:rPr>
          <w:rFonts w:ascii="Times New Roman" w:eastAsia="Times New Roman" w:hAnsi="Times New Roman" w:cs="Times New Roman"/>
          <w:sz w:val="24"/>
          <w:szCs w:val="24"/>
        </w:rPr>
        <w:t xml:space="preserve"> is a skin cancer that begins in the melanocytes, cells in the epidermis which produce melanin.  It</w:t>
      </w:r>
      <w:r w:rsidRPr="03D624AA">
        <w:rPr>
          <w:rFonts w:ascii="Times New Roman" w:eastAsia="Times New Roman" w:hAnsi="Times New Roman" w:cs="Times New Roman"/>
          <w:sz w:val="24"/>
          <w:szCs w:val="24"/>
        </w:rPr>
        <w:t xml:space="preserve"> is the most lethal form of skin cancer due to its propensity to metastasize to vital organs, including the brain, lungs and liver.  The incidence of malignant melanoma is increasing in the United States, with approximately </w:t>
      </w:r>
      <w:r w:rsidR="006E1249" w:rsidRPr="03D624AA">
        <w:rPr>
          <w:rFonts w:ascii="Times New Roman" w:eastAsia="Times New Roman" w:hAnsi="Times New Roman" w:cs="Times New Roman"/>
          <w:sz w:val="24"/>
          <w:szCs w:val="24"/>
        </w:rPr>
        <w:t>106,110</w:t>
      </w:r>
      <w:r w:rsidRPr="03D624AA">
        <w:rPr>
          <w:rFonts w:ascii="Times New Roman" w:eastAsia="Times New Roman" w:hAnsi="Times New Roman" w:cs="Times New Roman"/>
          <w:sz w:val="24"/>
          <w:szCs w:val="24"/>
        </w:rPr>
        <w:t xml:space="preserve"> new cases and </w:t>
      </w:r>
      <w:r w:rsidR="006E1249" w:rsidRPr="03D624AA">
        <w:rPr>
          <w:rFonts w:ascii="Times New Roman" w:eastAsia="Times New Roman" w:hAnsi="Times New Roman" w:cs="Times New Roman"/>
          <w:sz w:val="24"/>
          <w:szCs w:val="24"/>
        </w:rPr>
        <w:t>7,180</w:t>
      </w:r>
      <w:r w:rsidRPr="03D624AA">
        <w:rPr>
          <w:rFonts w:ascii="Times New Roman" w:eastAsia="Times New Roman" w:hAnsi="Times New Roman" w:cs="Times New Roman"/>
          <w:sz w:val="24"/>
          <w:szCs w:val="24"/>
        </w:rPr>
        <w:t xml:space="preserve"> melanoma-related deaths anticipated in 20</w:t>
      </w:r>
      <w:r w:rsidR="00D37E7D" w:rsidRPr="03D624AA">
        <w:rPr>
          <w:rFonts w:ascii="Times New Roman" w:eastAsia="Times New Roman" w:hAnsi="Times New Roman" w:cs="Times New Roman"/>
          <w:sz w:val="24"/>
          <w:szCs w:val="24"/>
        </w:rPr>
        <w:t>21</w:t>
      </w:r>
      <w:r w:rsidRPr="03D624AA">
        <w:rPr>
          <w:rFonts w:ascii="Times New Roman" w:eastAsia="Times New Roman" w:hAnsi="Times New Roman" w:cs="Times New Roman"/>
          <w:sz w:val="24"/>
          <w:szCs w:val="24"/>
        </w:rPr>
        <w:t xml:space="preserve">.  </w:t>
      </w:r>
      <w:r w:rsidR="006E1249" w:rsidRPr="03D624AA">
        <w:rPr>
          <w:rFonts w:ascii="Times New Roman" w:eastAsia="Times New Roman" w:hAnsi="Times New Roman" w:cs="Times New Roman"/>
          <w:sz w:val="24"/>
          <w:szCs w:val="24"/>
        </w:rPr>
        <w:t>Significant risk factors for melanoma include exposure to ultraviolet light</w:t>
      </w:r>
      <w:r w:rsidR="00071618" w:rsidRPr="03D624AA">
        <w:rPr>
          <w:rFonts w:ascii="Times New Roman" w:eastAsia="Times New Roman" w:hAnsi="Times New Roman" w:cs="Times New Roman"/>
          <w:sz w:val="24"/>
          <w:szCs w:val="24"/>
        </w:rPr>
        <w:t>,</w:t>
      </w:r>
      <w:r w:rsidR="006E1249" w:rsidRPr="03D624AA">
        <w:rPr>
          <w:rFonts w:ascii="Times New Roman" w:eastAsia="Times New Roman" w:hAnsi="Times New Roman" w:cs="Times New Roman"/>
          <w:sz w:val="24"/>
          <w:szCs w:val="24"/>
        </w:rPr>
        <w:t xml:space="preserve"> including a history of sunburns and tanning</w:t>
      </w:r>
      <w:r w:rsidR="00071618" w:rsidRPr="03D624AA">
        <w:rPr>
          <w:rFonts w:ascii="Times New Roman" w:eastAsia="Times New Roman" w:hAnsi="Times New Roman" w:cs="Times New Roman"/>
          <w:sz w:val="24"/>
          <w:szCs w:val="24"/>
        </w:rPr>
        <w:t>, dysplastic nevi and dysplastic nevus syndrome</w:t>
      </w:r>
      <w:r w:rsidR="006E1249" w:rsidRPr="03D624AA">
        <w:rPr>
          <w:rFonts w:ascii="Times New Roman" w:eastAsia="Times New Roman" w:hAnsi="Times New Roman" w:cs="Times New Roman"/>
          <w:sz w:val="24"/>
          <w:szCs w:val="24"/>
        </w:rPr>
        <w:t>.  Caucasians are at higher risk than other populations.</w:t>
      </w:r>
      <w:r w:rsidR="00D37E7D" w:rsidRPr="03D624AA">
        <w:rPr>
          <w:rFonts w:ascii="Times New Roman" w:eastAsia="Times New Roman" w:hAnsi="Times New Roman" w:cs="Times New Roman"/>
          <w:sz w:val="24"/>
          <w:szCs w:val="24"/>
        </w:rPr>
        <w:t xml:space="preserve">  While early-stage melanomas are treated by surgery with curative intent, the </w:t>
      </w:r>
      <w:r w:rsidR="00C9337A" w:rsidRPr="03D624AA">
        <w:rPr>
          <w:rFonts w:ascii="Times New Roman" w:eastAsia="Times New Roman" w:hAnsi="Times New Roman" w:cs="Times New Roman"/>
          <w:sz w:val="24"/>
          <w:szCs w:val="24"/>
        </w:rPr>
        <w:t>five-year</w:t>
      </w:r>
      <w:r w:rsidR="00D37E7D" w:rsidRPr="03D624AA">
        <w:rPr>
          <w:rFonts w:ascii="Times New Roman" w:eastAsia="Times New Roman" w:hAnsi="Times New Roman" w:cs="Times New Roman"/>
          <w:sz w:val="24"/>
          <w:szCs w:val="24"/>
        </w:rPr>
        <w:t xml:space="preserve"> survival rate for metastatic melanoma implicating distal </w:t>
      </w:r>
      <w:r w:rsidR="00D37E7D" w:rsidRPr="03D624AA">
        <w:rPr>
          <w:rFonts w:ascii="Times New Roman" w:eastAsia="Times New Roman" w:hAnsi="Times New Roman" w:cs="Times New Roman"/>
          <w:sz w:val="24"/>
          <w:szCs w:val="24"/>
        </w:rPr>
        <w:lastRenderedPageBreak/>
        <w:t>organs is 27%.</w:t>
      </w:r>
    </w:p>
    <w:p w14:paraId="767D69C5" w14:textId="77777777" w:rsidR="00521BD0" w:rsidRDefault="00521BD0" w:rsidP="00A4016E">
      <w:pPr>
        <w:spacing w:before="8" w:line="276" w:lineRule="auto"/>
        <w:ind w:left="720" w:right="1320"/>
        <w:jc w:val="both"/>
        <w:rPr>
          <w:rFonts w:ascii="Times New Roman" w:eastAsia="Times New Roman" w:hAnsi="Times New Roman" w:cs="Times New Roman"/>
          <w:sz w:val="24"/>
          <w:szCs w:val="24"/>
        </w:rPr>
      </w:pPr>
    </w:p>
    <w:p w14:paraId="6D8491EA" w14:textId="22F69142"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growth factor receptor/Ras/Raf/MEK/ERK axis is an important molecular driver of many human cancers.  The overexpression of growth factor receptors and oncogenic mutations in Raf or Ras are implicated in </w:t>
      </w:r>
      <w:r w:rsidR="00CB136A">
        <w:rPr>
          <w:b w:val="0"/>
          <w:bCs w:val="0"/>
          <w:sz w:val="24"/>
          <w:szCs w:val="24"/>
        </w:rPr>
        <w:t xml:space="preserve">various </w:t>
      </w:r>
      <w:r>
        <w:rPr>
          <w:b w:val="0"/>
          <w:bCs w:val="0"/>
          <w:sz w:val="24"/>
          <w:szCs w:val="24"/>
        </w:rPr>
        <w:t xml:space="preserve">cancers.  The dysregulation of this pathway leads to elevated phospho-ERK, which in turn phosphorylates and thereby activates cytosolic and nuclear proteins that regulate cell growth, survival, angiogenesis and differentiation.  </w:t>
      </w:r>
      <w:r w:rsidR="00756AB0">
        <w:rPr>
          <w:b w:val="0"/>
          <w:bCs w:val="0"/>
          <w:sz w:val="24"/>
          <w:szCs w:val="24"/>
        </w:rPr>
        <w:t>As these processes are all central to the cancer phenotype</w:t>
      </w:r>
      <w:r>
        <w:rPr>
          <w:b w:val="0"/>
          <w:bCs w:val="0"/>
          <w:sz w:val="24"/>
          <w:szCs w:val="24"/>
        </w:rPr>
        <w:t>, inhibition of this pathway is a potential strategy for treating diverse cancers.</w:t>
      </w:r>
    </w:p>
    <w:p w14:paraId="11DE9FB8" w14:textId="005E93DC"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dual specificity protein kinases MEK1/2 are the immediate upstream regulators of ERK phosphorylation.  These proteins are the only widely accepted substrates of Raf proteins, and ERK 1/2 are the only known substrates for MEK1/2.  This specificity formed the basis for significant cross-industry interest in MEK1/2 as </w:t>
      </w:r>
      <w:r w:rsidR="00756AB0">
        <w:rPr>
          <w:b w:val="0"/>
          <w:bCs w:val="0"/>
          <w:sz w:val="24"/>
          <w:szCs w:val="24"/>
        </w:rPr>
        <w:t>an oncology target</w:t>
      </w:r>
      <w:r>
        <w:rPr>
          <w:b w:val="0"/>
          <w:bCs w:val="0"/>
          <w:sz w:val="24"/>
          <w:szCs w:val="24"/>
        </w:rPr>
        <w:t>.</w:t>
      </w:r>
    </w:p>
    <w:p w14:paraId="5E67B428" w14:textId="3FFB5761" w:rsidR="006E1249" w:rsidRDefault="006E1249"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Approximately 50% of patients with metastatic melanoma have mutations in BRAF, and over 95% of these mutations are BRAF V600</w:t>
      </w:r>
      <w:r w:rsidR="003F46D8">
        <w:rPr>
          <w:rFonts w:ascii="Times New Roman" w:eastAsia="Times New Roman" w:hAnsi="Times New Roman" w:cs="Times New Roman"/>
          <w:sz w:val="24"/>
          <w:szCs w:val="24"/>
        </w:rPr>
        <w:t>E</w:t>
      </w:r>
      <w:r>
        <w:rPr>
          <w:rFonts w:ascii="Times New Roman" w:eastAsia="Times New Roman" w:hAnsi="Times New Roman" w:cs="Times New Roman"/>
          <w:sz w:val="24"/>
          <w:szCs w:val="24"/>
        </w:rPr>
        <w:t>.  These mutations result in constitutive activation of BRAF protein</w:t>
      </w:r>
      <w:r w:rsidR="00E944B8">
        <w:rPr>
          <w:rFonts w:ascii="Times New Roman" w:eastAsia="Times New Roman" w:hAnsi="Times New Roman" w:cs="Times New Roman"/>
          <w:sz w:val="24"/>
          <w:szCs w:val="24"/>
        </w:rPr>
        <w:t>, with a 500x increase in BRAF activity,</w:t>
      </w:r>
      <w:r>
        <w:rPr>
          <w:rFonts w:ascii="Times New Roman" w:eastAsia="Times New Roman" w:hAnsi="Times New Roman" w:cs="Times New Roman"/>
          <w:sz w:val="24"/>
          <w:szCs w:val="24"/>
        </w:rPr>
        <w:t xml:space="preserve"> and downstream signal transduction in the RAF/MEK/ERK pathway.  </w:t>
      </w:r>
      <w:r w:rsidR="00756AB0">
        <w:rPr>
          <w:rFonts w:ascii="Times New Roman" w:eastAsia="Times New Roman" w:hAnsi="Times New Roman" w:cs="Times New Roman"/>
          <w:sz w:val="24"/>
          <w:szCs w:val="24"/>
        </w:rPr>
        <w:t xml:space="preserve">Importantly this mutation is mutually exclusive with the BRAFV600 mutation.  </w:t>
      </w:r>
      <w:r>
        <w:rPr>
          <w:rFonts w:ascii="Times New Roman" w:eastAsia="Times New Roman" w:hAnsi="Times New Roman" w:cs="Times New Roman"/>
          <w:sz w:val="24"/>
          <w:szCs w:val="24"/>
        </w:rPr>
        <w:t>In a prospective study of 197 metastatic melanoma patients, BRAF mutations were associated with features of high</w:t>
      </w:r>
      <w:r w:rsidR="00973858">
        <w:rPr>
          <w:rFonts w:ascii="Times New Roman" w:eastAsia="Times New Roman" w:hAnsi="Times New Roman" w:cs="Times New Roman"/>
          <w:sz w:val="24"/>
          <w:szCs w:val="24"/>
        </w:rPr>
        <w:t>-</w:t>
      </w:r>
      <w:r>
        <w:rPr>
          <w:rFonts w:ascii="Times New Roman" w:eastAsia="Times New Roman" w:hAnsi="Times New Roman" w:cs="Times New Roman"/>
          <w:sz w:val="24"/>
          <w:szCs w:val="24"/>
        </w:rPr>
        <w:t>risk melanoma including truncal primary lesion, earlier age of onset, lack of chronic skin damage and shortened survival.</w:t>
      </w:r>
      <w:r w:rsidR="00071618">
        <w:rPr>
          <w:rFonts w:ascii="Times New Roman" w:eastAsia="Times New Roman" w:hAnsi="Times New Roman" w:cs="Times New Roman"/>
          <w:sz w:val="24"/>
          <w:szCs w:val="24"/>
        </w:rPr>
        <w:t xml:space="preserve">  </w:t>
      </w:r>
    </w:p>
    <w:p w14:paraId="52122D46" w14:textId="7C01D931" w:rsidR="00071618" w:rsidRDefault="00071618" w:rsidP="00071618">
      <w:pPr>
        <w:spacing w:before="8" w:line="276" w:lineRule="auto"/>
        <w:ind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DF6273B" w14:textId="375C308D" w:rsidR="00071618" w:rsidRPr="00913553" w:rsidRDefault="00071618" w:rsidP="007733DF">
      <w:pPr>
        <w:spacing w:before="8" w:line="276" w:lineRule="auto"/>
        <w:ind w:left="720" w:right="13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733DF">
        <w:rPr>
          <w:rFonts w:ascii="Times New Roman" w:eastAsia="Times New Roman" w:hAnsi="Times New Roman" w:cs="Times New Roman"/>
          <w:sz w:val="24"/>
          <w:szCs w:val="24"/>
        </w:rPr>
        <w:t xml:space="preserve">Treatment guidelines for BRAF-mutated metastatic melanoma include checkpoint inhibitor therapies or combination therapies with MEK and BRAF inhibitors, which have replaced BRAF inhibitor </w:t>
      </w:r>
      <w:r w:rsidR="00973858">
        <w:rPr>
          <w:rFonts w:ascii="Times New Roman" w:eastAsia="Times New Roman" w:hAnsi="Times New Roman" w:cs="Times New Roman"/>
          <w:sz w:val="24"/>
          <w:szCs w:val="24"/>
        </w:rPr>
        <w:t>mono</w:t>
      </w:r>
      <w:r w:rsidR="007733DF">
        <w:rPr>
          <w:rFonts w:ascii="Times New Roman" w:eastAsia="Times New Roman" w:hAnsi="Times New Roman" w:cs="Times New Roman"/>
          <w:sz w:val="24"/>
          <w:szCs w:val="24"/>
        </w:rPr>
        <w:t xml:space="preserve">therapy as the standard of care.  Although studies have shown that BRAF-targeted monotherapy with vemurafenib or dabrafenib is effective in BRAF-mutant melanoma, the duration of response is often limited, with resistance developing within 6 months.  In an attempt to delay resistance to BRAF inhibition, the combination of BRAF and MEK inhibitors was investigated clinically in patients with advanced BRAF mutant melanoma.  These trials demonstrated </w:t>
      </w:r>
      <w:r w:rsidR="000210EC">
        <w:rPr>
          <w:rFonts w:ascii="Times New Roman" w:eastAsia="Times New Roman" w:hAnsi="Times New Roman" w:cs="Times New Roman"/>
          <w:sz w:val="24"/>
          <w:szCs w:val="24"/>
        </w:rPr>
        <w:t>that the</w:t>
      </w:r>
      <w:r w:rsidR="007733DF">
        <w:rPr>
          <w:rFonts w:ascii="Times New Roman" w:eastAsia="Times New Roman" w:hAnsi="Times New Roman" w:cs="Times New Roman"/>
          <w:sz w:val="24"/>
          <w:szCs w:val="24"/>
        </w:rPr>
        <w:t xml:space="preserve"> efficacy of BRAF/MEK combination therapy (dabrafenib/trametinib and vemurafenib/</w:t>
      </w:r>
      <w:proofErr w:type="spellStart"/>
      <w:r w:rsidR="007733DF">
        <w:rPr>
          <w:rFonts w:ascii="Times New Roman" w:eastAsia="Times New Roman" w:hAnsi="Times New Roman" w:cs="Times New Roman"/>
          <w:sz w:val="24"/>
          <w:szCs w:val="24"/>
        </w:rPr>
        <w:t>cobimetinib</w:t>
      </w:r>
      <w:proofErr w:type="spellEnd"/>
      <w:r w:rsidR="007733DF">
        <w:rPr>
          <w:rFonts w:ascii="Times New Roman" w:eastAsia="Times New Roman" w:hAnsi="Times New Roman" w:cs="Times New Roman"/>
          <w:sz w:val="24"/>
          <w:szCs w:val="24"/>
        </w:rPr>
        <w:t>)</w:t>
      </w:r>
      <w:r w:rsidR="000210EC">
        <w:rPr>
          <w:rFonts w:ascii="Times New Roman" w:eastAsia="Times New Roman" w:hAnsi="Times New Roman" w:cs="Times New Roman"/>
          <w:sz w:val="24"/>
          <w:szCs w:val="24"/>
        </w:rPr>
        <w:t xml:space="preserve"> was improved compared to</w:t>
      </w:r>
      <w:r w:rsidR="0049564D">
        <w:rPr>
          <w:rFonts w:ascii="Times New Roman" w:eastAsia="Times New Roman" w:hAnsi="Times New Roman" w:cs="Times New Roman"/>
          <w:sz w:val="24"/>
          <w:szCs w:val="24"/>
        </w:rPr>
        <w:t xml:space="preserve"> </w:t>
      </w:r>
      <w:r w:rsidR="0049564D" w:rsidRPr="0049564D">
        <w:rPr>
          <w:rFonts w:ascii="Times New Roman" w:eastAsia="Times New Roman" w:hAnsi="Times New Roman" w:cs="Times New Roman"/>
          <w:sz w:val="24"/>
          <w:szCs w:val="24"/>
        </w:rPr>
        <w:t>either vemurafenib or dabrafenib alone</w:t>
      </w:r>
      <w:r w:rsidR="0049564D">
        <w:rPr>
          <w:rFonts w:ascii="Times New Roman" w:eastAsia="Times New Roman" w:hAnsi="Times New Roman" w:cs="Times New Roman"/>
          <w:sz w:val="24"/>
          <w:szCs w:val="24"/>
        </w:rPr>
        <w:t xml:space="preserve">.  </w:t>
      </w:r>
    </w:p>
    <w:p w14:paraId="65D4D19D" w14:textId="77777777" w:rsidR="00336EAA" w:rsidRPr="00697301" w:rsidRDefault="00336EAA" w:rsidP="006D1DAE">
      <w:pPr>
        <w:spacing w:before="7" w:line="276" w:lineRule="auto"/>
        <w:ind w:left="720" w:right="1320"/>
        <w:jc w:val="both"/>
        <w:rPr>
          <w:sz w:val="24"/>
          <w:szCs w:val="24"/>
        </w:rPr>
      </w:pPr>
    </w:p>
    <w:p w14:paraId="12131AA8" w14:textId="237D741C" w:rsidR="0057091F" w:rsidRDefault="00A37D88" w:rsidP="00DC5CFE">
      <w:pPr>
        <w:pStyle w:val="Heading1"/>
        <w:spacing w:after="240" w:line="276" w:lineRule="auto"/>
        <w:ind w:left="720" w:right="1320"/>
        <w:jc w:val="both"/>
        <w:rPr>
          <w:sz w:val="24"/>
          <w:szCs w:val="24"/>
        </w:rPr>
      </w:pPr>
      <w:r w:rsidRPr="00697301">
        <w:rPr>
          <w:sz w:val="24"/>
          <w:szCs w:val="24"/>
        </w:rPr>
        <w:t>Development</w:t>
      </w:r>
    </w:p>
    <w:p w14:paraId="59FAADF7" w14:textId="77777777" w:rsidR="00D724B4" w:rsidRDefault="00D724B4" w:rsidP="00D724B4">
      <w:pPr>
        <w:pStyle w:val="Heading1"/>
        <w:spacing w:after="240" w:line="276" w:lineRule="auto"/>
        <w:ind w:left="720" w:right="1320"/>
        <w:jc w:val="both"/>
        <w:rPr>
          <w:sz w:val="24"/>
          <w:szCs w:val="24"/>
        </w:rPr>
      </w:pPr>
      <w:proofErr w:type="spellStart"/>
      <w:r w:rsidRPr="00D10128">
        <w:rPr>
          <w:b w:val="0"/>
          <w:bCs w:val="0"/>
          <w:sz w:val="24"/>
          <w:szCs w:val="24"/>
        </w:rPr>
        <w:t>Encorafenib</w:t>
      </w:r>
      <w:proofErr w:type="spellEnd"/>
      <w:r w:rsidRPr="00D10128">
        <w:rPr>
          <w:b w:val="0"/>
          <w:bCs w:val="0"/>
          <w:sz w:val="24"/>
          <w:szCs w:val="24"/>
        </w:rPr>
        <w:t xml:space="preserve"> is a highly selective adenosine triphosphate (ATP)-competitive small-molecule RAF kinase inhibitor, which suppresses the RAS/RAF/MEK/ERK pathway in tumor cells expressing BRAF V600 mutations, including melanoma cell lines. In contrast, </w:t>
      </w:r>
      <w:proofErr w:type="spellStart"/>
      <w:r w:rsidRPr="00D10128">
        <w:rPr>
          <w:b w:val="0"/>
          <w:bCs w:val="0"/>
          <w:sz w:val="24"/>
          <w:szCs w:val="24"/>
        </w:rPr>
        <w:t>encorafenib</w:t>
      </w:r>
      <w:proofErr w:type="spellEnd"/>
      <w:r w:rsidRPr="00D10128">
        <w:rPr>
          <w:b w:val="0"/>
          <w:bCs w:val="0"/>
          <w:sz w:val="24"/>
          <w:szCs w:val="24"/>
        </w:rPr>
        <w:t xml:space="preserve"> was not anti-proliferative in the majority of BRAF wild-type cell lines.</w:t>
      </w:r>
    </w:p>
    <w:p w14:paraId="00F0C8B5" w14:textId="77777777" w:rsidR="00D724B4" w:rsidRPr="001766F8" w:rsidRDefault="00D724B4" w:rsidP="00D724B4">
      <w:pPr>
        <w:pStyle w:val="Heading1"/>
        <w:spacing w:after="240" w:line="276" w:lineRule="auto"/>
        <w:ind w:left="720" w:right="1320"/>
        <w:jc w:val="both"/>
        <w:rPr>
          <w:b w:val="0"/>
          <w:bCs w:val="0"/>
          <w:sz w:val="24"/>
          <w:szCs w:val="24"/>
        </w:rPr>
      </w:pPr>
      <w:proofErr w:type="spellStart"/>
      <w:r w:rsidRPr="001766F8">
        <w:rPr>
          <w:b w:val="0"/>
          <w:bCs w:val="0"/>
          <w:sz w:val="24"/>
          <w:szCs w:val="24"/>
        </w:rPr>
        <w:t>Binimetinib</w:t>
      </w:r>
      <w:proofErr w:type="spellEnd"/>
      <w:r>
        <w:rPr>
          <w:b w:val="0"/>
          <w:bCs w:val="0"/>
          <w:sz w:val="24"/>
          <w:szCs w:val="24"/>
        </w:rPr>
        <w:t xml:space="preserve"> </w:t>
      </w:r>
      <w:r w:rsidRPr="001766F8">
        <w:rPr>
          <w:b w:val="0"/>
          <w:bCs w:val="0"/>
          <w:sz w:val="24"/>
          <w:szCs w:val="24"/>
        </w:rPr>
        <w:t xml:space="preserve">is a potent and selective allosteric, ATP uncompetitive inhibitor of mitogen-activated protein kinase </w:t>
      </w:r>
      <w:proofErr w:type="spellStart"/>
      <w:r w:rsidRPr="001766F8">
        <w:rPr>
          <w:b w:val="0"/>
          <w:bCs w:val="0"/>
          <w:sz w:val="24"/>
          <w:szCs w:val="24"/>
        </w:rPr>
        <w:t>kinase</w:t>
      </w:r>
      <w:proofErr w:type="spellEnd"/>
      <w:r w:rsidRPr="001766F8">
        <w:rPr>
          <w:b w:val="0"/>
          <w:bCs w:val="0"/>
          <w:sz w:val="24"/>
          <w:szCs w:val="24"/>
        </w:rPr>
        <w:t xml:space="preserve"> (MEK) 1 and MEK 2. It is the first MEK inhibitor to demonstrate activity in NRAS mutation positive melanoma in a controlled pivotal trial (</w:t>
      </w:r>
      <w:proofErr w:type="spellStart"/>
      <w:r w:rsidRPr="001766F8">
        <w:rPr>
          <w:b w:val="0"/>
          <w:bCs w:val="0"/>
          <w:sz w:val="24"/>
          <w:szCs w:val="24"/>
        </w:rPr>
        <w:t>Dummer</w:t>
      </w:r>
      <w:proofErr w:type="spellEnd"/>
      <w:r w:rsidRPr="001766F8">
        <w:rPr>
          <w:b w:val="0"/>
          <w:bCs w:val="0"/>
          <w:sz w:val="24"/>
          <w:szCs w:val="24"/>
        </w:rPr>
        <w:t xml:space="preserve"> et al 2017). It is active in inhibiting phosphorylated extracellular signal-regulated kinase (</w:t>
      </w:r>
      <w:proofErr w:type="spellStart"/>
      <w:r w:rsidRPr="001766F8">
        <w:rPr>
          <w:b w:val="0"/>
          <w:bCs w:val="0"/>
          <w:sz w:val="24"/>
          <w:szCs w:val="24"/>
        </w:rPr>
        <w:t>pERK</w:t>
      </w:r>
      <w:proofErr w:type="spellEnd"/>
      <w:r w:rsidRPr="001766F8">
        <w:rPr>
          <w:b w:val="0"/>
          <w:bCs w:val="0"/>
          <w:sz w:val="24"/>
          <w:szCs w:val="24"/>
        </w:rPr>
        <w:t>) and growth of BRAF mutated cancer cells in the low nanomolar range.</w:t>
      </w:r>
    </w:p>
    <w:p w14:paraId="1D4A148A" w14:textId="71F5FE72" w:rsidR="001766F8" w:rsidRDefault="000410F7" w:rsidP="000410F7">
      <w:pPr>
        <w:pStyle w:val="Heading1"/>
        <w:spacing w:after="240" w:line="276" w:lineRule="auto"/>
        <w:ind w:left="720" w:right="1320"/>
        <w:jc w:val="both"/>
        <w:rPr>
          <w:b w:val="0"/>
          <w:bCs w:val="0"/>
          <w:sz w:val="24"/>
          <w:szCs w:val="24"/>
        </w:rPr>
      </w:pPr>
      <w:proofErr w:type="spellStart"/>
      <w:r>
        <w:rPr>
          <w:b w:val="0"/>
          <w:bCs w:val="0"/>
          <w:sz w:val="24"/>
          <w:szCs w:val="24"/>
        </w:rPr>
        <w:t>Encorafenib</w:t>
      </w:r>
      <w:proofErr w:type="spellEnd"/>
      <w:r>
        <w:rPr>
          <w:b w:val="0"/>
          <w:bCs w:val="0"/>
          <w:sz w:val="24"/>
          <w:szCs w:val="24"/>
        </w:rPr>
        <w:t xml:space="preserve"> and </w:t>
      </w:r>
      <w:proofErr w:type="spellStart"/>
      <w:r>
        <w:rPr>
          <w:b w:val="0"/>
          <w:bCs w:val="0"/>
          <w:sz w:val="24"/>
          <w:szCs w:val="24"/>
        </w:rPr>
        <w:t>binimetinib</w:t>
      </w:r>
      <w:proofErr w:type="spellEnd"/>
      <w:r>
        <w:rPr>
          <w:b w:val="0"/>
          <w:bCs w:val="0"/>
          <w:sz w:val="24"/>
          <w:szCs w:val="24"/>
        </w:rPr>
        <w:t xml:space="preserve"> were developed</w:t>
      </w:r>
      <w:r w:rsidR="00D724B4">
        <w:rPr>
          <w:b w:val="0"/>
          <w:bCs w:val="0"/>
          <w:sz w:val="24"/>
          <w:szCs w:val="24"/>
        </w:rPr>
        <w:t xml:space="preserve"> as a doublet based on the </w:t>
      </w:r>
      <w:r w:rsidR="001766F8">
        <w:rPr>
          <w:b w:val="0"/>
          <w:bCs w:val="0"/>
          <w:sz w:val="24"/>
          <w:szCs w:val="24"/>
        </w:rPr>
        <w:t xml:space="preserve">scientific rationale that </w:t>
      </w:r>
      <w:r w:rsidR="001766F8" w:rsidRPr="000410F7">
        <w:rPr>
          <w:b w:val="0"/>
          <w:bCs w:val="0"/>
          <w:sz w:val="24"/>
          <w:szCs w:val="24"/>
        </w:rPr>
        <w:t xml:space="preserve">MAPK pathway reactivation is implicated in BRAF-inhibitor monotherapy resistance.  </w:t>
      </w:r>
      <w:r w:rsidR="001766F8" w:rsidRPr="000410F7">
        <w:rPr>
          <w:b w:val="0"/>
          <w:bCs w:val="0"/>
          <w:sz w:val="24"/>
          <w:szCs w:val="24"/>
        </w:rPr>
        <w:lastRenderedPageBreak/>
        <w:t>Additionally, toxic effects associated with BRAF inhibition, notably secondary squamous-cell skin cancer and other skin toxicities, are caused by BRAF inhibitors paradoxically activating the wild-type BRAF kinase, promoting dimerization that triggers RAS-independent transactivation, and activation of the MAPK pathway in normal tissues.</w:t>
      </w:r>
    </w:p>
    <w:p w14:paraId="79A0085D" w14:textId="5F2FA7AC"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Pr>
          <w:b w:val="0"/>
          <w:bCs w:val="0"/>
          <w:sz w:val="24"/>
          <w:szCs w:val="24"/>
        </w:rPr>
        <w:t>binimetinib</w:t>
      </w:r>
      <w:proofErr w:type="spellEnd"/>
      <w:r>
        <w:rPr>
          <w:b w:val="0"/>
          <w:bCs w:val="0"/>
          <w:sz w:val="24"/>
          <w:szCs w:val="24"/>
        </w:rPr>
        <w:t xml:space="preserve"> discovery program began with allosteric MEK1/2 inhibitor leads that were published in the literature.  </w:t>
      </w:r>
      <w:r w:rsidR="005E0AED">
        <w:rPr>
          <w:b w:val="0"/>
          <w:bCs w:val="0"/>
          <w:sz w:val="24"/>
          <w:szCs w:val="24"/>
        </w:rPr>
        <w:t xml:space="preserve">Since all protein kinases depend on ATP binding for their enzymatic function, compounds that are uncompetitive with ATP are especially attractive starting points for kinase inhibitor programs, as they likely have higher selectivity for the desired kinase target.  </w:t>
      </w:r>
      <w:r>
        <w:rPr>
          <w:b w:val="0"/>
          <w:bCs w:val="0"/>
          <w:sz w:val="24"/>
          <w:szCs w:val="24"/>
        </w:rPr>
        <w:t xml:space="preserve">These compounds, exemplified by CI-1040 and PD-0325901, were taken forward into clinical studies but were discontinued from development.  The poor solubility and metabolic stability of CI-1040 led to its discontinuation owing to poor target coverage in human clinical studies.  Thus, the primary objective of the </w:t>
      </w:r>
      <w:proofErr w:type="spellStart"/>
      <w:r>
        <w:rPr>
          <w:b w:val="0"/>
          <w:bCs w:val="0"/>
          <w:sz w:val="24"/>
          <w:szCs w:val="24"/>
        </w:rPr>
        <w:t>binimetinib</w:t>
      </w:r>
      <w:proofErr w:type="spellEnd"/>
      <w:r>
        <w:rPr>
          <w:b w:val="0"/>
          <w:bCs w:val="0"/>
          <w:sz w:val="24"/>
          <w:szCs w:val="24"/>
        </w:rPr>
        <w:t xml:space="preserve"> team was to develop improved uncompetitive MEK1/2 inhibitors with </w:t>
      </w:r>
      <w:r w:rsidR="00AF4013">
        <w:rPr>
          <w:b w:val="0"/>
          <w:bCs w:val="0"/>
          <w:sz w:val="24"/>
          <w:szCs w:val="24"/>
        </w:rPr>
        <w:t xml:space="preserve">enhanced </w:t>
      </w:r>
      <w:r>
        <w:rPr>
          <w:b w:val="0"/>
          <w:bCs w:val="0"/>
          <w:sz w:val="24"/>
          <w:szCs w:val="24"/>
        </w:rPr>
        <w:t>pharmacokinetics.</w:t>
      </w:r>
    </w:p>
    <w:p w14:paraId="4CBF07F1" w14:textId="5AC32173"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Pr>
          <w:b w:val="0"/>
          <w:bCs w:val="0"/>
          <w:sz w:val="24"/>
          <w:szCs w:val="24"/>
        </w:rPr>
        <w:t>binimetinib</w:t>
      </w:r>
      <w:proofErr w:type="spellEnd"/>
      <w:r>
        <w:rPr>
          <w:b w:val="0"/>
          <w:bCs w:val="0"/>
          <w:sz w:val="24"/>
          <w:szCs w:val="24"/>
        </w:rPr>
        <w:t xml:space="preserve"> team developed a pharmacophore model for MEK1/2 inhibition after studying the structural similarity between these compounds and other published MEK1/2 inhibitors.  This model revealed the crucial positioning of three hydrogen bond acceptors and two hydrophobic aromatic surfaces.  Evaluating opportunities to incorporate these pharmacophoric features into </w:t>
      </w:r>
      <w:r w:rsidR="002E1952">
        <w:rPr>
          <w:b w:val="0"/>
          <w:bCs w:val="0"/>
          <w:sz w:val="24"/>
          <w:szCs w:val="24"/>
        </w:rPr>
        <w:t xml:space="preserve">an improved scaffold with lower lipophilicity led to replacement of the central aromatic ring with benzimidazole </w:t>
      </w:r>
      <w:r w:rsidR="002E1952">
        <w:rPr>
          <w:sz w:val="24"/>
          <w:szCs w:val="24"/>
        </w:rPr>
        <w:t>1</w:t>
      </w:r>
      <w:r w:rsidR="002E1952">
        <w:rPr>
          <w:b w:val="0"/>
          <w:bCs w:val="0"/>
          <w:sz w:val="24"/>
          <w:szCs w:val="24"/>
        </w:rPr>
        <w:t xml:space="preserve">.  This template showed excellent MEK enzyme potency but suffered from inhibition of cytochrome P450 3A4.  Since most chemotherapeutic agents are used in combination, the team focused on removing this drug interaction liability by increasing steric bulk around the imidazole.  The benzimidazole scaffold </w:t>
      </w:r>
      <w:r w:rsidR="002E1952">
        <w:rPr>
          <w:sz w:val="24"/>
          <w:szCs w:val="24"/>
        </w:rPr>
        <w:t>2</w:t>
      </w:r>
      <w:r w:rsidR="002E1952">
        <w:rPr>
          <w:b w:val="0"/>
          <w:bCs w:val="0"/>
          <w:sz w:val="24"/>
          <w:szCs w:val="24"/>
        </w:rPr>
        <w:t xml:space="preserve"> was unique in preserving strong MEK1/2 inhibition while reducing CYP 3A4 liabilities.  Alkylation at other positions on the benzimidazole ring was not tolerated, and while larger substituents could be accommodated at the N3 position, none provided a better balance of cellular potency and physicochemical properties.  Exploration of the hydroxamate ester group led to the finding that small, polar aliphatic groups, such as in </w:t>
      </w:r>
      <w:r w:rsidR="002E1952">
        <w:rPr>
          <w:sz w:val="24"/>
          <w:szCs w:val="24"/>
        </w:rPr>
        <w:t>3</w:t>
      </w:r>
      <w:r w:rsidR="002E1952">
        <w:rPr>
          <w:b w:val="0"/>
          <w:bCs w:val="0"/>
          <w:sz w:val="24"/>
          <w:szCs w:val="24"/>
        </w:rPr>
        <w:t xml:space="preserve">, yielded improved cellular potency and metabolic stability without significantly compromising permeability.  Finally, optimization of the aryl amine led to the clinical candidate </w:t>
      </w:r>
      <w:r w:rsidR="002E1952">
        <w:rPr>
          <w:sz w:val="24"/>
          <w:szCs w:val="24"/>
        </w:rPr>
        <w:t>4</w:t>
      </w:r>
      <w:r w:rsidR="002E1952">
        <w:rPr>
          <w:b w:val="0"/>
          <w:bCs w:val="0"/>
          <w:sz w:val="24"/>
          <w:szCs w:val="24"/>
        </w:rPr>
        <w:t xml:space="preserve">, </w:t>
      </w:r>
      <w:proofErr w:type="spellStart"/>
      <w:r w:rsidR="002E1952">
        <w:rPr>
          <w:b w:val="0"/>
          <w:bCs w:val="0"/>
          <w:sz w:val="24"/>
          <w:szCs w:val="24"/>
        </w:rPr>
        <w:t>binimetinib</w:t>
      </w:r>
      <w:proofErr w:type="spellEnd"/>
      <w:r w:rsidR="002E1952">
        <w:rPr>
          <w:b w:val="0"/>
          <w:bCs w:val="0"/>
          <w:sz w:val="24"/>
          <w:szCs w:val="24"/>
        </w:rPr>
        <w:t>.</w:t>
      </w:r>
    </w:p>
    <w:p w14:paraId="0AE7292C" w14:textId="6D64636A" w:rsidR="00D22A8B" w:rsidRDefault="00D22A8B" w:rsidP="00A76113">
      <w:pPr>
        <w:pStyle w:val="Heading1"/>
        <w:spacing w:after="240" w:line="276" w:lineRule="auto"/>
        <w:ind w:left="720" w:right="1320"/>
        <w:jc w:val="both"/>
        <w:rPr>
          <w:b w:val="0"/>
          <w:bCs w:val="0"/>
          <w:sz w:val="24"/>
          <w:szCs w:val="24"/>
        </w:rPr>
      </w:pPr>
      <w:r>
        <w:object w:dxaOrig="9946" w:dyaOrig="6385" w14:anchorId="43458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300.6pt" o:ole="">
            <v:imagedata r:id="rId10" o:title=""/>
          </v:shape>
          <o:OLEObject Type="Embed" ProgID="ChemDraw.Document.6.0" ShapeID="_x0000_i1025" DrawAspect="Content" ObjectID="_1715509955" r:id="rId11"/>
        </w:object>
      </w:r>
    </w:p>
    <w:p w14:paraId="78A8C17D" w14:textId="5F826FD6" w:rsidR="002E1952" w:rsidRDefault="002E1952" w:rsidP="00A76113">
      <w:pPr>
        <w:pStyle w:val="Heading1"/>
        <w:spacing w:after="240" w:line="276" w:lineRule="auto"/>
        <w:ind w:left="720" w:right="1320"/>
        <w:jc w:val="both"/>
        <w:rPr>
          <w:b w:val="0"/>
          <w:bCs w:val="0"/>
          <w:sz w:val="24"/>
          <w:szCs w:val="24"/>
        </w:rPr>
      </w:pPr>
      <w:r>
        <w:rPr>
          <w:b w:val="0"/>
          <w:bCs w:val="0"/>
          <w:sz w:val="24"/>
          <w:szCs w:val="24"/>
        </w:rPr>
        <w:t xml:space="preserve">Binimetinib exhibits potent, ATP-uncompetitive activity against MEK1/2 (12 nM).  </w:t>
      </w:r>
      <w:r w:rsidR="005E0AED">
        <w:rPr>
          <w:b w:val="0"/>
          <w:bCs w:val="0"/>
          <w:sz w:val="24"/>
          <w:szCs w:val="24"/>
        </w:rPr>
        <w:t xml:space="preserve">As expected from its uncompetitive mechanism of kinase inhibition, binimetinib shows exquisite MEK1/2 selectivity, with no reported activity against a panel of 220 other serine/threonine kinases at concentrations as high as 20 </w:t>
      </w:r>
      <w:r w:rsidR="005F0553">
        <w:rPr>
          <w:rFonts w:ascii="Symbol" w:hAnsi="Symbol"/>
          <w:b w:val="0"/>
          <w:bCs w:val="0"/>
          <w:sz w:val="24"/>
          <w:szCs w:val="24"/>
        </w:rPr>
        <w:t>m</w:t>
      </w:r>
      <w:r w:rsidR="005E0AED">
        <w:rPr>
          <w:b w:val="0"/>
          <w:bCs w:val="0"/>
          <w:sz w:val="24"/>
          <w:szCs w:val="24"/>
        </w:rPr>
        <w:t xml:space="preserve">M.  Binimetinib inhibits basal and induced ERK phosphorylation in numerous cancer cell lines with IC50s as low as 5 nM.  </w:t>
      </w:r>
      <w:r w:rsidR="00756AB0">
        <w:rPr>
          <w:b w:val="0"/>
          <w:bCs w:val="0"/>
          <w:sz w:val="24"/>
          <w:szCs w:val="24"/>
        </w:rPr>
        <w:t xml:space="preserve">On the basis of </w:t>
      </w:r>
      <w:r w:rsidR="005B1726">
        <w:rPr>
          <w:b w:val="0"/>
          <w:bCs w:val="0"/>
          <w:sz w:val="24"/>
          <w:szCs w:val="24"/>
        </w:rPr>
        <w:t>data generated in</w:t>
      </w:r>
      <w:r w:rsidR="00756AB0">
        <w:rPr>
          <w:b w:val="0"/>
          <w:bCs w:val="0"/>
          <w:sz w:val="24"/>
          <w:szCs w:val="24"/>
        </w:rPr>
        <w:t xml:space="preserve"> preclinical models, binimetinib was advanced to clinical studies for advanced </w:t>
      </w:r>
      <w:r w:rsidR="00702D04">
        <w:rPr>
          <w:b w:val="0"/>
          <w:bCs w:val="0"/>
          <w:sz w:val="24"/>
          <w:szCs w:val="24"/>
        </w:rPr>
        <w:t xml:space="preserve">BRAF mutant metastatic </w:t>
      </w:r>
      <w:r w:rsidR="00756AB0">
        <w:rPr>
          <w:b w:val="0"/>
          <w:bCs w:val="0"/>
          <w:sz w:val="24"/>
          <w:szCs w:val="24"/>
        </w:rPr>
        <w:t xml:space="preserve">melanoma as a single agent and in combination with </w:t>
      </w:r>
      <w:r w:rsidR="007E7816">
        <w:rPr>
          <w:b w:val="0"/>
          <w:bCs w:val="0"/>
          <w:sz w:val="24"/>
          <w:szCs w:val="24"/>
        </w:rPr>
        <w:t>encorafenib</w:t>
      </w:r>
      <w:r w:rsidR="00756AB0">
        <w:rPr>
          <w:b w:val="0"/>
          <w:bCs w:val="0"/>
          <w:sz w:val="24"/>
          <w:szCs w:val="24"/>
        </w:rPr>
        <w:t>.</w:t>
      </w:r>
    </w:p>
    <w:p w14:paraId="4439DAFA" w14:textId="7AC55D70" w:rsidR="00E91EE3" w:rsidRDefault="00E91EE3" w:rsidP="00A76113">
      <w:pPr>
        <w:pStyle w:val="Heading1"/>
        <w:spacing w:after="240" w:line="276" w:lineRule="auto"/>
        <w:ind w:left="720" w:right="1320"/>
        <w:jc w:val="both"/>
        <w:rPr>
          <w:b w:val="0"/>
          <w:bCs w:val="0"/>
          <w:sz w:val="24"/>
          <w:szCs w:val="24"/>
        </w:rPr>
      </w:pPr>
      <w:r>
        <w:rPr>
          <w:b w:val="0"/>
          <w:bCs w:val="0"/>
          <w:sz w:val="24"/>
          <w:szCs w:val="24"/>
        </w:rPr>
        <w:t>The combination of binimetinib and encorafenib was studied in the Phase III COLUMBUS trial, which enrolled 577 patients who received either 450 mg encorafanib once daily plus 45 mg binimetinib twice daily, or 300 mg encor</w:t>
      </w:r>
      <w:r w:rsidR="00F31168">
        <w:rPr>
          <w:b w:val="0"/>
          <w:bCs w:val="0"/>
          <w:sz w:val="24"/>
          <w:szCs w:val="24"/>
        </w:rPr>
        <w:t>a</w:t>
      </w:r>
      <w:r>
        <w:rPr>
          <w:b w:val="0"/>
          <w:bCs w:val="0"/>
          <w:sz w:val="24"/>
          <w:szCs w:val="24"/>
        </w:rPr>
        <w:t>fenib once daily</w:t>
      </w:r>
      <w:r w:rsidR="00E12C35">
        <w:rPr>
          <w:b w:val="0"/>
          <w:bCs w:val="0"/>
          <w:sz w:val="24"/>
          <w:szCs w:val="24"/>
        </w:rPr>
        <w:t xml:space="preserve"> </w:t>
      </w:r>
      <w:r>
        <w:rPr>
          <w:b w:val="0"/>
          <w:bCs w:val="0"/>
          <w:sz w:val="24"/>
          <w:szCs w:val="24"/>
        </w:rPr>
        <w:t>or vemurafenib 960 mg twice daily.  With a median follow</w:t>
      </w:r>
      <w:r w:rsidR="00F31168">
        <w:rPr>
          <w:b w:val="0"/>
          <w:bCs w:val="0"/>
          <w:sz w:val="24"/>
          <w:szCs w:val="24"/>
        </w:rPr>
        <w:t>-</w:t>
      </w:r>
      <w:r>
        <w:rPr>
          <w:b w:val="0"/>
          <w:bCs w:val="0"/>
          <w:sz w:val="24"/>
          <w:szCs w:val="24"/>
        </w:rPr>
        <w:t xml:space="preserve">up of 32.1 months, median PFS was 14.9 months in the </w:t>
      </w:r>
      <w:r w:rsidR="00E12C35">
        <w:rPr>
          <w:b w:val="0"/>
          <w:bCs w:val="0"/>
          <w:sz w:val="24"/>
          <w:szCs w:val="24"/>
        </w:rPr>
        <w:t xml:space="preserve">encorafenib + binimetinib </w:t>
      </w:r>
      <w:r>
        <w:rPr>
          <w:b w:val="0"/>
          <w:bCs w:val="0"/>
          <w:sz w:val="24"/>
          <w:szCs w:val="24"/>
        </w:rPr>
        <w:t xml:space="preserve">group and 7.3 months in the </w:t>
      </w:r>
      <w:r w:rsidR="00E12C35">
        <w:rPr>
          <w:b w:val="0"/>
          <w:bCs w:val="0"/>
          <w:sz w:val="24"/>
          <w:szCs w:val="24"/>
        </w:rPr>
        <w:t xml:space="preserve">vemurafenib </w:t>
      </w:r>
      <w:r>
        <w:rPr>
          <w:b w:val="0"/>
          <w:bCs w:val="0"/>
          <w:sz w:val="24"/>
          <w:szCs w:val="24"/>
        </w:rPr>
        <w:t xml:space="preserve">group.  An updated </w:t>
      </w:r>
      <w:r w:rsidR="001C10FE">
        <w:rPr>
          <w:b w:val="0"/>
          <w:bCs w:val="0"/>
          <w:sz w:val="24"/>
          <w:szCs w:val="24"/>
        </w:rPr>
        <w:t>descriptive</w:t>
      </w:r>
      <w:r>
        <w:rPr>
          <w:b w:val="0"/>
          <w:bCs w:val="0"/>
          <w:sz w:val="24"/>
          <w:szCs w:val="24"/>
        </w:rPr>
        <w:t xml:space="preserve"> analysis revealed overall survival of 33.6 months for the </w:t>
      </w:r>
      <w:r w:rsidR="00E12C35">
        <w:rPr>
          <w:b w:val="0"/>
          <w:bCs w:val="0"/>
          <w:sz w:val="24"/>
          <w:szCs w:val="24"/>
        </w:rPr>
        <w:t xml:space="preserve">encorafenib + binimetinib </w:t>
      </w:r>
      <w:r>
        <w:rPr>
          <w:b w:val="0"/>
          <w:bCs w:val="0"/>
          <w:sz w:val="24"/>
          <w:szCs w:val="24"/>
        </w:rPr>
        <w:t>arm</w:t>
      </w:r>
      <w:r w:rsidR="001C10FE">
        <w:rPr>
          <w:b w:val="0"/>
          <w:bCs w:val="0"/>
          <w:sz w:val="24"/>
          <w:szCs w:val="24"/>
        </w:rPr>
        <w:t xml:space="preserve"> </w:t>
      </w:r>
      <w:r>
        <w:rPr>
          <w:b w:val="0"/>
          <w:bCs w:val="0"/>
          <w:sz w:val="24"/>
          <w:szCs w:val="24"/>
        </w:rPr>
        <w:t xml:space="preserve">and 16.9 months for the </w:t>
      </w:r>
      <w:r w:rsidR="00E12C35">
        <w:rPr>
          <w:b w:val="0"/>
          <w:bCs w:val="0"/>
          <w:sz w:val="24"/>
          <w:szCs w:val="24"/>
        </w:rPr>
        <w:t xml:space="preserve">vemurafenib </w:t>
      </w:r>
      <w:r>
        <w:rPr>
          <w:b w:val="0"/>
          <w:bCs w:val="0"/>
          <w:sz w:val="24"/>
          <w:szCs w:val="24"/>
        </w:rPr>
        <w:t xml:space="preserve">arm.  Compared with vemurafenib, the combination of encorafenib and binimetinib decreased the risk of death by 39% </w:t>
      </w:r>
      <w:r w:rsidR="005D6132">
        <w:rPr>
          <w:b w:val="0"/>
          <w:bCs w:val="0"/>
          <w:sz w:val="24"/>
          <w:szCs w:val="24"/>
        </w:rPr>
        <w:t xml:space="preserve">as well </w:t>
      </w:r>
      <w:r w:rsidR="00E12C35">
        <w:rPr>
          <w:b w:val="0"/>
          <w:bCs w:val="0"/>
          <w:sz w:val="24"/>
          <w:szCs w:val="24"/>
        </w:rPr>
        <w:t xml:space="preserve">as increased in progression free survival (PFS) </w:t>
      </w:r>
      <w:r w:rsidR="00600B13">
        <w:rPr>
          <w:b w:val="0"/>
          <w:bCs w:val="0"/>
          <w:sz w:val="24"/>
          <w:szCs w:val="24"/>
        </w:rPr>
        <w:t xml:space="preserve">from </w:t>
      </w:r>
      <w:r w:rsidR="005D6132">
        <w:rPr>
          <w:b w:val="0"/>
          <w:bCs w:val="0"/>
          <w:sz w:val="24"/>
          <w:szCs w:val="24"/>
        </w:rPr>
        <w:t xml:space="preserve">7.3 months (vemurafenib) to </w:t>
      </w:r>
      <w:r w:rsidR="00191F6F">
        <w:rPr>
          <w:b w:val="0"/>
          <w:bCs w:val="0"/>
          <w:sz w:val="24"/>
          <w:szCs w:val="24"/>
        </w:rPr>
        <w:t xml:space="preserve">14.9 </w:t>
      </w:r>
      <w:r w:rsidR="00935344">
        <w:rPr>
          <w:b w:val="0"/>
          <w:bCs w:val="0"/>
          <w:sz w:val="24"/>
          <w:szCs w:val="24"/>
        </w:rPr>
        <w:t>months (encorafenib</w:t>
      </w:r>
      <w:r w:rsidR="00191F6F">
        <w:rPr>
          <w:b w:val="0"/>
          <w:bCs w:val="0"/>
          <w:sz w:val="24"/>
          <w:szCs w:val="24"/>
        </w:rPr>
        <w:t xml:space="preserve"> + binimetinib</w:t>
      </w:r>
      <w:r w:rsidR="00935344">
        <w:rPr>
          <w:b w:val="0"/>
          <w:bCs w:val="0"/>
          <w:sz w:val="24"/>
          <w:szCs w:val="24"/>
        </w:rPr>
        <w:t>)</w:t>
      </w:r>
      <w:r w:rsidR="00191F6F">
        <w:rPr>
          <w:b w:val="0"/>
          <w:bCs w:val="0"/>
          <w:sz w:val="24"/>
          <w:szCs w:val="24"/>
        </w:rPr>
        <w:t xml:space="preserve">.  </w:t>
      </w:r>
      <w:r>
        <w:rPr>
          <w:b w:val="0"/>
          <w:bCs w:val="0"/>
          <w:sz w:val="24"/>
          <w:szCs w:val="24"/>
        </w:rPr>
        <w:t>The most frequently observed adverse events were diarrhea (38.5%), vomiting (31.8%), fatigue (29.7%) and arthralgia (28.6%) in the COMBO arm.  Grade 3-4 toxicities included increased blood creatinine kinase (7.8%), pyrexia (3.6%), diarrhea (</w:t>
      </w:r>
      <w:r w:rsidR="00026E2E">
        <w:rPr>
          <w:b w:val="0"/>
          <w:bCs w:val="0"/>
          <w:sz w:val="24"/>
          <w:szCs w:val="24"/>
        </w:rPr>
        <w:t xml:space="preserve">2.6%) and fatigue (2.1%).  On the basis of these results, the FDA granted approval for binimetinib/encorafenib for the treatment of </w:t>
      </w:r>
      <w:r w:rsidR="00026E2E" w:rsidRPr="00026E2E">
        <w:rPr>
          <w:rFonts w:cs="Times New Roman"/>
          <w:b w:val="0"/>
          <w:bCs w:val="0"/>
          <w:color w:val="333333"/>
          <w:sz w:val="24"/>
          <w:szCs w:val="24"/>
          <w:shd w:val="clear" w:color="auto" w:fill="FFFFFF"/>
        </w:rPr>
        <w:t>unresectable or metastatic melanoma with a BRAF V600E or V600K mutation</w:t>
      </w:r>
      <w:r w:rsidR="00026E2E">
        <w:rPr>
          <w:rFonts w:cs="Times New Roman"/>
          <w:b w:val="0"/>
          <w:bCs w:val="0"/>
          <w:color w:val="333333"/>
          <w:sz w:val="24"/>
          <w:szCs w:val="24"/>
          <w:shd w:val="clear" w:color="auto" w:fill="FFFFFF"/>
        </w:rPr>
        <w:t xml:space="preserve"> in </w:t>
      </w:r>
      <w:proofErr w:type="gramStart"/>
      <w:r w:rsidR="00026E2E">
        <w:rPr>
          <w:rFonts w:cs="Times New Roman"/>
          <w:b w:val="0"/>
          <w:bCs w:val="0"/>
          <w:color w:val="333333"/>
          <w:sz w:val="24"/>
          <w:szCs w:val="24"/>
          <w:shd w:val="clear" w:color="auto" w:fill="FFFFFF"/>
        </w:rPr>
        <w:t>June,</w:t>
      </w:r>
      <w:proofErr w:type="gramEnd"/>
      <w:r w:rsidR="00026E2E">
        <w:rPr>
          <w:rFonts w:cs="Times New Roman"/>
          <w:b w:val="0"/>
          <w:bCs w:val="0"/>
          <w:color w:val="333333"/>
          <w:sz w:val="24"/>
          <w:szCs w:val="24"/>
          <w:shd w:val="clear" w:color="auto" w:fill="FFFFFF"/>
        </w:rPr>
        <w:t xml:space="preserve"> 2018.</w:t>
      </w:r>
      <w:r w:rsidR="00AA6FBB">
        <w:rPr>
          <w:rFonts w:cs="Times New Roman"/>
          <w:b w:val="0"/>
          <w:bCs w:val="0"/>
          <w:color w:val="333333"/>
          <w:sz w:val="24"/>
          <w:szCs w:val="24"/>
          <w:shd w:val="clear" w:color="auto" w:fill="FFFFFF"/>
        </w:rPr>
        <w:t xml:space="preserve">  Please see important safety information and full prescribing information at www.braftovimektovi</w:t>
      </w:r>
      <w:r w:rsidR="005A45A0">
        <w:rPr>
          <w:rFonts w:cs="Times New Roman"/>
          <w:b w:val="0"/>
          <w:bCs w:val="0"/>
          <w:color w:val="333333"/>
          <w:sz w:val="24"/>
          <w:szCs w:val="24"/>
          <w:shd w:val="clear" w:color="auto" w:fill="FFFFFF"/>
        </w:rPr>
        <w:t>.com</w:t>
      </w:r>
    </w:p>
    <w:p w14:paraId="01F26099" w14:textId="5AD3EC5B" w:rsidR="00336EAA" w:rsidRDefault="00A37D88" w:rsidP="006D1DAE">
      <w:pPr>
        <w:pStyle w:val="Heading1"/>
        <w:spacing w:after="240" w:line="276" w:lineRule="auto"/>
        <w:ind w:left="720" w:right="1320"/>
        <w:jc w:val="both"/>
        <w:rPr>
          <w:sz w:val="24"/>
          <w:szCs w:val="24"/>
        </w:rPr>
      </w:pPr>
      <w:r w:rsidRPr="00783BF5">
        <w:rPr>
          <w:sz w:val="24"/>
          <w:szCs w:val="24"/>
        </w:rPr>
        <w:t>Innovation</w:t>
      </w:r>
    </w:p>
    <w:p w14:paraId="1745BB22" w14:textId="1B8110ED" w:rsidR="00E944B8" w:rsidRDefault="00E944B8" w:rsidP="00E944B8">
      <w:pPr>
        <w:pStyle w:val="Heading1"/>
        <w:spacing w:after="240" w:line="276" w:lineRule="auto"/>
        <w:ind w:left="720" w:right="1320"/>
        <w:jc w:val="both"/>
        <w:rPr>
          <w:b w:val="0"/>
          <w:bCs w:val="0"/>
          <w:sz w:val="24"/>
          <w:szCs w:val="24"/>
        </w:rPr>
      </w:pPr>
      <w:r>
        <w:rPr>
          <w:b w:val="0"/>
          <w:bCs w:val="0"/>
          <w:sz w:val="24"/>
          <w:szCs w:val="24"/>
        </w:rPr>
        <w:t xml:space="preserve">Vemurafenib was the first oral BRAF kinase-specific inhibitor showing a survival benefit in a </w:t>
      </w:r>
      <w:r>
        <w:rPr>
          <w:b w:val="0"/>
          <w:bCs w:val="0"/>
          <w:sz w:val="24"/>
          <w:szCs w:val="24"/>
        </w:rPr>
        <w:lastRenderedPageBreak/>
        <w:t xml:space="preserve">Phase III clinical study of </w:t>
      </w:r>
      <w:r w:rsidR="009C60C5">
        <w:rPr>
          <w:b w:val="0"/>
          <w:bCs w:val="0"/>
          <w:sz w:val="24"/>
          <w:szCs w:val="24"/>
        </w:rPr>
        <w:t xml:space="preserve">BRAF metastatic melanoma.  </w:t>
      </w:r>
      <w:r>
        <w:rPr>
          <w:b w:val="0"/>
          <w:bCs w:val="0"/>
          <w:sz w:val="24"/>
          <w:szCs w:val="24"/>
        </w:rPr>
        <w:t>Dabrafenib is another BRAF kinase-specific inhibitor that demonstrated efficacy as a monotherapy</w:t>
      </w:r>
      <w:r w:rsidR="009C60C5">
        <w:rPr>
          <w:b w:val="0"/>
          <w:bCs w:val="0"/>
          <w:sz w:val="24"/>
          <w:szCs w:val="24"/>
        </w:rPr>
        <w:t xml:space="preserve">.  </w:t>
      </w:r>
      <w:r>
        <w:rPr>
          <w:b w:val="0"/>
          <w:bCs w:val="0"/>
          <w:sz w:val="24"/>
          <w:szCs w:val="24"/>
        </w:rPr>
        <w:t xml:space="preserve">Although tumor response rates with these two agents were excellent, Progression Free Survival (PFS) and Overall Survival (OS) were less promising.  Tumors in some patients exhibited intrinsic resistance to these BRAF inhibitors, whereas others acquired resistance within a period of months.  This resistance was associated with reactivation of the MAPK and PI3K-AKT pathways.  Combining MEK inhibitors with BRAF inhibitors </w:t>
      </w:r>
      <w:r w:rsidR="007E7816">
        <w:rPr>
          <w:b w:val="0"/>
          <w:bCs w:val="0"/>
          <w:sz w:val="24"/>
          <w:szCs w:val="24"/>
        </w:rPr>
        <w:t>led to improved efficacy outcomes and decreased cutaneous toxicities associated with MAPK pathway reactivation.</w:t>
      </w:r>
    </w:p>
    <w:p w14:paraId="710F0C6F" w14:textId="4BCC3401" w:rsidR="007E7816" w:rsidRDefault="007E7816" w:rsidP="00E944B8">
      <w:pPr>
        <w:pStyle w:val="Heading1"/>
        <w:spacing w:after="240" w:line="276" w:lineRule="auto"/>
        <w:ind w:left="720" w:right="1320"/>
        <w:jc w:val="both"/>
        <w:rPr>
          <w:b w:val="0"/>
          <w:bCs w:val="0"/>
          <w:sz w:val="24"/>
          <w:szCs w:val="24"/>
        </w:rPr>
      </w:pPr>
      <w:r>
        <w:rPr>
          <w:b w:val="0"/>
          <w:bCs w:val="0"/>
          <w:sz w:val="24"/>
          <w:szCs w:val="24"/>
        </w:rPr>
        <w:t xml:space="preserve">Class-specific side effects of BRAF inhibitors can be partially explained by paradoxical activation of the MAPK pathway in BRAF wild type cells in various tissues.  While V600-mutated BRAF acts as a constitutively active monomer and is specifically inhibited by BRAF inhibitors in its monomer form, wild type BRAF signaling is facilitated by dimerization as a homodimer or heterodimer with CRAF.  </w:t>
      </w:r>
      <w:r w:rsidR="00264604">
        <w:rPr>
          <w:b w:val="0"/>
          <w:bCs w:val="0"/>
          <w:sz w:val="24"/>
          <w:szCs w:val="24"/>
        </w:rPr>
        <w:t xml:space="preserve">The aforementioned BRAF inhibitors are not only incapable of inhibiting the dimeric form of BRAF, </w:t>
      </w:r>
      <w:proofErr w:type="gramStart"/>
      <w:r w:rsidR="00264604">
        <w:rPr>
          <w:b w:val="0"/>
          <w:bCs w:val="0"/>
          <w:sz w:val="24"/>
          <w:szCs w:val="24"/>
        </w:rPr>
        <w:t>they</w:t>
      </w:r>
      <w:proofErr w:type="gramEnd"/>
      <w:r w:rsidR="00264604">
        <w:rPr>
          <w:b w:val="0"/>
          <w:bCs w:val="0"/>
          <w:sz w:val="24"/>
          <w:szCs w:val="24"/>
        </w:rPr>
        <w:t xml:space="preserve"> promote formation of the dimer through allosterically induced conformational changes on the wild type protein, leading to activation of the MAPK pathway, especially in cells with preexisting RAS mutations.  This paradoxical activation is thought to be responsible for cutaneous squamous cell carcinoma and other side effects mentioned above.</w:t>
      </w:r>
    </w:p>
    <w:p w14:paraId="75D21392" w14:textId="75138FF2" w:rsidR="00E944B8" w:rsidRDefault="007E7816" w:rsidP="006D1DAE">
      <w:pPr>
        <w:pStyle w:val="Heading1"/>
        <w:spacing w:after="240" w:line="276" w:lineRule="auto"/>
        <w:ind w:left="720" w:right="1320"/>
        <w:jc w:val="both"/>
        <w:rPr>
          <w:b w:val="0"/>
          <w:bCs w:val="0"/>
          <w:sz w:val="24"/>
          <w:szCs w:val="24"/>
        </w:rPr>
      </w:pPr>
      <w:r>
        <w:rPr>
          <w:b w:val="0"/>
          <w:bCs w:val="0"/>
          <w:sz w:val="24"/>
          <w:szCs w:val="24"/>
        </w:rPr>
        <w:t>Encoraf</w:t>
      </w:r>
      <w:r w:rsidR="00F31168">
        <w:rPr>
          <w:b w:val="0"/>
          <w:bCs w:val="0"/>
          <w:sz w:val="24"/>
          <w:szCs w:val="24"/>
        </w:rPr>
        <w:t>e</w:t>
      </w:r>
      <w:r>
        <w:rPr>
          <w:b w:val="0"/>
          <w:bCs w:val="0"/>
          <w:sz w:val="24"/>
          <w:szCs w:val="24"/>
        </w:rPr>
        <w:t xml:space="preserve">nib was developed with </w:t>
      </w:r>
      <w:r w:rsidR="00D257E6">
        <w:rPr>
          <w:b w:val="0"/>
          <w:bCs w:val="0"/>
          <w:sz w:val="24"/>
          <w:szCs w:val="24"/>
        </w:rPr>
        <w:t xml:space="preserve">the goal of </w:t>
      </w:r>
      <w:r w:rsidR="00BA3001">
        <w:rPr>
          <w:b w:val="0"/>
          <w:bCs w:val="0"/>
          <w:sz w:val="24"/>
          <w:szCs w:val="24"/>
        </w:rPr>
        <w:t>extending on-target binding time</w:t>
      </w:r>
      <w:r>
        <w:rPr>
          <w:b w:val="0"/>
          <w:bCs w:val="0"/>
          <w:sz w:val="24"/>
          <w:szCs w:val="24"/>
        </w:rPr>
        <w:t xml:space="preserve">.  </w:t>
      </w:r>
      <w:r w:rsidR="002B183D">
        <w:rPr>
          <w:b w:val="0"/>
          <w:bCs w:val="0"/>
          <w:sz w:val="24"/>
          <w:szCs w:val="24"/>
        </w:rPr>
        <w:t xml:space="preserve">The </w:t>
      </w:r>
      <w:r>
        <w:rPr>
          <w:b w:val="0"/>
          <w:bCs w:val="0"/>
          <w:sz w:val="24"/>
          <w:szCs w:val="24"/>
        </w:rPr>
        <w:t>dissociation half</w:t>
      </w:r>
      <w:r w:rsidR="0075410B">
        <w:rPr>
          <w:b w:val="0"/>
          <w:bCs w:val="0"/>
          <w:sz w:val="24"/>
          <w:szCs w:val="24"/>
        </w:rPr>
        <w:t>-</w:t>
      </w:r>
      <w:r>
        <w:rPr>
          <w:b w:val="0"/>
          <w:bCs w:val="0"/>
          <w:sz w:val="24"/>
          <w:szCs w:val="24"/>
        </w:rPr>
        <w:t xml:space="preserve">life </w:t>
      </w:r>
      <w:r w:rsidR="002B183D">
        <w:rPr>
          <w:b w:val="0"/>
          <w:bCs w:val="0"/>
          <w:sz w:val="24"/>
          <w:szCs w:val="24"/>
        </w:rPr>
        <w:t>of encorafenib</w:t>
      </w:r>
      <w:r>
        <w:rPr>
          <w:b w:val="0"/>
          <w:bCs w:val="0"/>
          <w:sz w:val="24"/>
          <w:szCs w:val="24"/>
        </w:rPr>
        <w:t xml:space="preserve"> is substantially increased (&gt;30h) relative to other </w:t>
      </w:r>
      <w:r w:rsidR="002B183D">
        <w:rPr>
          <w:b w:val="0"/>
          <w:bCs w:val="0"/>
          <w:sz w:val="24"/>
          <w:szCs w:val="24"/>
        </w:rPr>
        <w:t xml:space="preserve">BRAF inhibitor </w:t>
      </w:r>
      <w:r>
        <w:rPr>
          <w:b w:val="0"/>
          <w:bCs w:val="0"/>
          <w:sz w:val="24"/>
          <w:szCs w:val="24"/>
        </w:rPr>
        <w:t xml:space="preserve">agents (2h and 0.5h, respectively).  This prolonged target engagement was confirmed in cellular washout studies and is associated with </w:t>
      </w:r>
      <w:r w:rsidR="007D65DF">
        <w:rPr>
          <w:b w:val="0"/>
          <w:bCs w:val="0"/>
          <w:sz w:val="24"/>
          <w:szCs w:val="24"/>
        </w:rPr>
        <w:t>increased</w:t>
      </w:r>
      <w:r>
        <w:rPr>
          <w:b w:val="0"/>
          <w:bCs w:val="0"/>
          <w:sz w:val="24"/>
          <w:szCs w:val="24"/>
        </w:rPr>
        <w:t xml:space="preserve"> antiproliferative activity across a broad panel of tumor cell lines.  Another consequence of this long pharmacodynamic half</w:t>
      </w:r>
      <w:r w:rsidR="0075410B">
        <w:rPr>
          <w:b w:val="0"/>
          <w:bCs w:val="0"/>
          <w:sz w:val="24"/>
          <w:szCs w:val="24"/>
        </w:rPr>
        <w:t>-</w:t>
      </w:r>
      <w:r>
        <w:rPr>
          <w:b w:val="0"/>
          <w:bCs w:val="0"/>
          <w:sz w:val="24"/>
          <w:szCs w:val="24"/>
        </w:rPr>
        <w:t xml:space="preserve">life is the possibility of extended target inhibition long after elimination of the drug from plasma, resulting in a potentially greater therapeutic index related to off-target pharmacology.  </w:t>
      </w:r>
      <w:r w:rsidR="005F6705">
        <w:rPr>
          <w:b w:val="0"/>
          <w:bCs w:val="0"/>
          <w:sz w:val="24"/>
          <w:szCs w:val="24"/>
        </w:rPr>
        <w:t>Preclinical studies have shown that e</w:t>
      </w:r>
      <w:r w:rsidR="00264604">
        <w:rPr>
          <w:b w:val="0"/>
          <w:bCs w:val="0"/>
          <w:sz w:val="24"/>
          <w:szCs w:val="24"/>
        </w:rPr>
        <w:t xml:space="preserve">ncorafenib exhibits a lower incidence of paradoxical MAPK pathway activation relative to dabrafenib and vemurafenib.  </w:t>
      </w:r>
      <w:r>
        <w:rPr>
          <w:b w:val="0"/>
          <w:bCs w:val="0"/>
          <w:sz w:val="24"/>
          <w:szCs w:val="24"/>
        </w:rPr>
        <w:t xml:space="preserve">Encorafenib is a highly selective BRAF kinase inhibitor, with minimal activity across a panel of 99 other kinases, wherein activity was </w:t>
      </w:r>
      <w:r w:rsidR="001918CF">
        <w:rPr>
          <w:b w:val="0"/>
          <w:bCs w:val="0"/>
          <w:sz w:val="24"/>
          <w:szCs w:val="24"/>
        </w:rPr>
        <w:t xml:space="preserve">shown </w:t>
      </w:r>
      <w:r>
        <w:rPr>
          <w:b w:val="0"/>
          <w:bCs w:val="0"/>
          <w:sz w:val="24"/>
          <w:szCs w:val="24"/>
        </w:rPr>
        <w:t>only against GSK3b and JNK2.</w:t>
      </w:r>
      <w:r w:rsidR="00264604">
        <w:rPr>
          <w:b w:val="0"/>
          <w:bCs w:val="0"/>
          <w:sz w:val="24"/>
          <w:szCs w:val="24"/>
        </w:rPr>
        <w:t xml:space="preserve">  </w:t>
      </w:r>
    </w:p>
    <w:p w14:paraId="235280E9" w14:textId="3D846B1D" w:rsidR="2F42EF23" w:rsidRDefault="0019518A" w:rsidP="174187E9">
      <w:pPr>
        <w:pStyle w:val="Heading1"/>
        <w:spacing w:after="240" w:line="276" w:lineRule="auto"/>
        <w:ind w:left="720" w:right="1320"/>
        <w:jc w:val="both"/>
        <w:rPr>
          <w:sz w:val="24"/>
          <w:szCs w:val="24"/>
        </w:rPr>
      </w:pPr>
      <w:r>
        <w:rPr>
          <w:sz w:val="24"/>
          <w:szCs w:val="24"/>
        </w:rPr>
        <w:t xml:space="preserve">As of Q1 2022, over </w:t>
      </w:r>
      <w:r w:rsidR="009331A0">
        <w:rPr>
          <w:sz w:val="24"/>
          <w:szCs w:val="24"/>
        </w:rPr>
        <w:t xml:space="preserve">11,000 patients in the US alone have been treated with </w:t>
      </w:r>
      <w:r w:rsidR="754FCC70" w:rsidRPr="7C13477C">
        <w:rPr>
          <w:sz w:val="24"/>
          <w:szCs w:val="24"/>
        </w:rPr>
        <w:t xml:space="preserve">either </w:t>
      </w:r>
      <w:r w:rsidR="754FCC70" w:rsidRPr="02532D9F">
        <w:rPr>
          <w:sz w:val="24"/>
          <w:szCs w:val="24"/>
        </w:rPr>
        <w:t xml:space="preserve">BRAFTOVI + </w:t>
      </w:r>
      <w:r w:rsidR="754FCC70" w:rsidRPr="40DD9CA7">
        <w:rPr>
          <w:sz w:val="24"/>
          <w:szCs w:val="24"/>
        </w:rPr>
        <w:t xml:space="preserve">MEKTOVI or </w:t>
      </w:r>
      <w:r w:rsidR="754FCC70" w:rsidRPr="4414A5F1">
        <w:rPr>
          <w:sz w:val="24"/>
          <w:szCs w:val="24"/>
        </w:rPr>
        <w:t>BRAFTOVI +</w:t>
      </w:r>
      <w:r w:rsidR="754FCC70" w:rsidRPr="753901F3">
        <w:rPr>
          <w:sz w:val="24"/>
          <w:szCs w:val="24"/>
        </w:rPr>
        <w:t xml:space="preserve"> </w:t>
      </w:r>
      <w:r w:rsidR="754FCC70" w:rsidRPr="5CCB7F47">
        <w:rPr>
          <w:sz w:val="24"/>
          <w:szCs w:val="24"/>
        </w:rPr>
        <w:t xml:space="preserve">cetuximab. </w:t>
      </w:r>
    </w:p>
    <w:p w14:paraId="2815FD44" w14:textId="2527B178" w:rsidR="00196A4D" w:rsidRDefault="00E944B8" w:rsidP="00D02F99">
      <w:pPr>
        <w:pStyle w:val="Heading1"/>
        <w:spacing w:after="240" w:line="276" w:lineRule="auto"/>
        <w:ind w:left="720" w:right="1320"/>
        <w:jc w:val="both"/>
        <w:rPr>
          <w:b w:val="0"/>
          <w:bCs w:val="0"/>
          <w:sz w:val="24"/>
          <w:szCs w:val="24"/>
        </w:rPr>
      </w:pPr>
      <w:r>
        <w:rPr>
          <w:b w:val="0"/>
          <w:bCs w:val="0"/>
          <w:sz w:val="24"/>
          <w:szCs w:val="24"/>
        </w:rPr>
        <w:t xml:space="preserve">In addition to its prevalence in metastatic melanoma, V600 mutant BRAF is also found in, 30% of </w:t>
      </w:r>
      <w:r w:rsidR="002571A7">
        <w:rPr>
          <w:b w:val="0"/>
          <w:bCs w:val="0"/>
          <w:sz w:val="24"/>
          <w:szCs w:val="24"/>
        </w:rPr>
        <w:t>low-grade serous</w:t>
      </w:r>
      <w:r>
        <w:rPr>
          <w:b w:val="0"/>
          <w:bCs w:val="0"/>
          <w:sz w:val="24"/>
          <w:szCs w:val="24"/>
        </w:rPr>
        <w:t xml:space="preserve"> ovarian cancers, 40-70% of papillary thyroid carcinomas and 7-8% of all solid tumors.  </w:t>
      </w:r>
      <w:r w:rsidR="00521BD0">
        <w:rPr>
          <w:b w:val="0"/>
          <w:bCs w:val="0"/>
          <w:sz w:val="24"/>
          <w:szCs w:val="24"/>
        </w:rPr>
        <w:t xml:space="preserve">The broad implication of BRAF mutations in human cancers </w:t>
      </w:r>
      <w:r w:rsidR="00D37E7D">
        <w:rPr>
          <w:b w:val="0"/>
          <w:bCs w:val="0"/>
          <w:sz w:val="24"/>
          <w:szCs w:val="24"/>
        </w:rPr>
        <w:t xml:space="preserve">prompted the study of Braftovi/Mektovi in other </w:t>
      </w:r>
      <w:r w:rsidR="00416C2C">
        <w:rPr>
          <w:b w:val="0"/>
          <w:bCs w:val="0"/>
          <w:sz w:val="24"/>
          <w:szCs w:val="24"/>
        </w:rPr>
        <w:t>disease areas</w:t>
      </w:r>
      <w:r w:rsidR="00D37E7D">
        <w:rPr>
          <w:b w:val="0"/>
          <w:bCs w:val="0"/>
          <w:sz w:val="24"/>
          <w:szCs w:val="24"/>
        </w:rPr>
        <w:t xml:space="preserve">.  </w:t>
      </w:r>
      <w:r w:rsidR="00F176CC">
        <w:rPr>
          <w:b w:val="0"/>
          <w:bCs w:val="0"/>
          <w:sz w:val="24"/>
          <w:szCs w:val="24"/>
        </w:rPr>
        <w:t>For instance, t</w:t>
      </w:r>
      <w:r w:rsidR="00D37E7D">
        <w:rPr>
          <w:b w:val="0"/>
          <w:bCs w:val="0"/>
          <w:sz w:val="24"/>
          <w:szCs w:val="24"/>
        </w:rPr>
        <w:t>his combination is currently in Phase 2 clinical studies for BRAF-mutant metastatic melanoma with brain metastasis, 1</w:t>
      </w:r>
      <w:r w:rsidR="00D37E7D" w:rsidRPr="00D37E7D">
        <w:rPr>
          <w:b w:val="0"/>
          <w:bCs w:val="0"/>
          <w:sz w:val="24"/>
          <w:szCs w:val="24"/>
          <w:vertAlign w:val="superscript"/>
        </w:rPr>
        <w:t>st</w:t>
      </w:r>
      <w:r w:rsidR="00D37E7D">
        <w:rPr>
          <w:b w:val="0"/>
          <w:bCs w:val="0"/>
          <w:sz w:val="24"/>
          <w:szCs w:val="24"/>
        </w:rPr>
        <w:t>-line and 2</w:t>
      </w:r>
      <w:r w:rsidR="00D37E7D" w:rsidRPr="00D37E7D">
        <w:rPr>
          <w:b w:val="0"/>
          <w:bCs w:val="0"/>
          <w:sz w:val="24"/>
          <w:szCs w:val="24"/>
          <w:vertAlign w:val="superscript"/>
        </w:rPr>
        <w:t>nd</w:t>
      </w:r>
      <w:r w:rsidR="00D37E7D">
        <w:rPr>
          <w:b w:val="0"/>
          <w:bCs w:val="0"/>
          <w:sz w:val="24"/>
          <w:szCs w:val="24"/>
        </w:rPr>
        <w:t>-line BRAF mutant metastatic non</w:t>
      </w:r>
      <w:r w:rsidR="00934514">
        <w:rPr>
          <w:b w:val="0"/>
          <w:bCs w:val="0"/>
          <w:sz w:val="24"/>
          <w:szCs w:val="24"/>
        </w:rPr>
        <w:t>-</w:t>
      </w:r>
      <w:r w:rsidR="00D37E7D">
        <w:rPr>
          <w:b w:val="0"/>
          <w:bCs w:val="0"/>
          <w:sz w:val="24"/>
          <w:szCs w:val="24"/>
        </w:rPr>
        <w:t xml:space="preserve">small cell lung cancer.  </w:t>
      </w:r>
    </w:p>
    <w:p w14:paraId="7ED020DB" w14:textId="118970B7" w:rsidR="00533FB4" w:rsidRDefault="00533FB4" w:rsidP="00D02F99">
      <w:pPr>
        <w:pStyle w:val="Heading1"/>
        <w:spacing w:after="240" w:line="276" w:lineRule="auto"/>
        <w:ind w:left="720" w:right="1320"/>
        <w:jc w:val="both"/>
        <w:rPr>
          <w:b w:val="0"/>
          <w:bCs w:val="0"/>
          <w:sz w:val="24"/>
          <w:szCs w:val="24"/>
        </w:rPr>
      </w:pPr>
    </w:p>
    <w:p w14:paraId="60B5D965" w14:textId="3B61EB62" w:rsidR="00533FB4" w:rsidRDefault="00533FB4" w:rsidP="00D02F99">
      <w:pPr>
        <w:pStyle w:val="Heading1"/>
        <w:spacing w:after="240" w:line="276" w:lineRule="auto"/>
        <w:ind w:left="720" w:right="1320"/>
        <w:jc w:val="both"/>
        <w:rPr>
          <w:b w:val="0"/>
          <w:bCs w:val="0"/>
          <w:sz w:val="24"/>
          <w:szCs w:val="24"/>
        </w:rPr>
      </w:pPr>
    </w:p>
    <w:p w14:paraId="368FD376" w14:textId="46B02CEF" w:rsidR="00533FB4" w:rsidRDefault="00533FB4" w:rsidP="00D02F99">
      <w:pPr>
        <w:pStyle w:val="Heading1"/>
        <w:spacing w:after="240" w:line="276" w:lineRule="auto"/>
        <w:ind w:left="720" w:right="1320"/>
        <w:jc w:val="both"/>
        <w:rPr>
          <w:b w:val="0"/>
          <w:bCs w:val="0"/>
          <w:sz w:val="24"/>
          <w:szCs w:val="24"/>
        </w:rPr>
      </w:pPr>
    </w:p>
    <w:p w14:paraId="6FB8A935" w14:textId="77777777" w:rsidR="00533FB4" w:rsidRDefault="00533FB4" w:rsidP="00D02F99">
      <w:pPr>
        <w:pStyle w:val="Heading1"/>
        <w:spacing w:after="240" w:line="276" w:lineRule="auto"/>
        <w:ind w:left="720" w:right="1320"/>
        <w:jc w:val="both"/>
        <w:rPr>
          <w:b w:val="0"/>
          <w:bCs w:val="0"/>
          <w:sz w:val="24"/>
          <w:szCs w:val="24"/>
        </w:rPr>
      </w:pPr>
    </w:p>
    <w:p w14:paraId="416311CD" w14:textId="4FE1F3F6" w:rsidR="00533FB4" w:rsidRPr="00533FB4" w:rsidRDefault="00533FB4" w:rsidP="00D02F99">
      <w:pPr>
        <w:pStyle w:val="Heading1"/>
        <w:spacing w:after="240" w:line="276" w:lineRule="auto"/>
        <w:ind w:left="720" w:right="1320"/>
        <w:jc w:val="both"/>
        <w:rPr>
          <w:rFonts w:ascii="Arial" w:hAnsi="Arial" w:cs="Arial"/>
          <w:sz w:val="20"/>
          <w:szCs w:val="20"/>
        </w:rPr>
      </w:pPr>
      <w:r w:rsidRPr="00533FB4">
        <w:rPr>
          <w:rFonts w:ascii="Arial" w:hAnsi="Arial" w:cs="Arial"/>
          <w:sz w:val="20"/>
          <w:szCs w:val="20"/>
        </w:rPr>
        <w:lastRenderedPageBreak/>
        <w:t>References:</w:t>
      </w:r>
    </w:p>
    <w:p w14:paraId="7C3BC1E3" w14:textId="024C2ED5" w:rsidR="00850C71" w:rsidRPr="00850C71" w:rsidRDefault="00850C71"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HJ, et al. Encorafenib plus binimetinib versus vemurafenib or encorafenib in patients with BRAF-mutant melanoma (COLUMBUS): a multicentre, open-label, randomised phase 3 trial. Lancet Oncol. 2018;19(5):603</w:t>
      </w:r>
      <w:r w:rsidRPr="00850C71">
        <w:rPr>
          <w:rFonts w:ascii="Cambria Math" w:hAnsi="Cambria Math" w:cs="Cambria Math"/>
          <w:sz w:val="20"/>
          <w:szCs w:val="20"/>
        </w:rPr>
        <w:t>‐</w:t>
      </w:r>
      <w:r w:rsidRPr="00850C71">
        <w:rPr>
          <w:rFonts w:ascii="Arial" w:hAnsi="Arial" w:cs="Arial"/>
          <w:sz w:val="20"/>
          <w:szCs w:val="20"/>
        </w:rPr>
        <w:t>615. doi:10.1016/S1470-2045(18)30142-6</w:t>
      </w:r>
    </w:p>
    <w:p w14:paraId="1B8A1C33" w14:textId="77777777" w:rsidR="00850C71" w:rsidRDefault="00850C71" w:rsidP="00850C71">
      <w:pPr>
        <w:widowControl/>
        <w:autoSpaceDE w:val="0"/>
        <w:autoSpaceDN w:val="0"/>
        <w:adjustRightInd w:val="0"/>
        <w:rPr>
          <w:rFonts w:ascii="Arial" w:hAnsi="Arial" w:cs="Arial"/>
          <w:sz w:val="20"/>
          <w:szCs w:val="20"/>
        </w:rPr>
      </w:pPr>
    </w:p>
    <w:p w14:paraId="1C689863" w14:textId="6C897244" w:rsidR="00850C71" w:rsidRPr="00850C71" w:rsidRDefault="00850C71"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HJ, et al. Overall survival in patients with BRAF-mutant melanoma receiving encorafenib plus binimetinib versus vemurafenib or encorafenib (COLUMBUS): a multicentre, open-label, randomised, phase 3 trial [published correction appears in Lancet Oncol. 2018;19(10):e509]. Lancet Oncol. 2018;19(10):1315</w:t>
      </w:r>
      <w:r w:rsidRPr="00850C71">
        <w:rPr>
          <w:rFonts w:ascii="Cambria Math" w:hAnsi="Cambria Math" w:cs="Cambria Math"/>
          <w:sz w:val="20"/>
          <w:szCs w:val="20"/>
        </w:rPr>
        <w:t>‐</w:t>
      </w:r>
      <w:r w:rsidRPr="00850C71">
        <w:rPr>
          <w:rFonts w:ascii="Arial" w:hAnsi="Arial" w:cs="Arial"/>
          <w:sz w:val="20"/>
          <w:szCs w:val="20"/>
        </w:rPr>
        <w:t>1327. doi:10.1016/S1470-2045(18)30497-2</w:t>
      </w:r>
    </w:p>
    <w:p w14:paraId="1C8A2F0D" w14:textId="77777777" w:rsidR="00850C71" w:rsidRDefault="00850C71" w:rsidP="00533FB4">
      <w:pPr>
        <w:widowControl/>
        <w:autoSpaceDE w:val="0"/>
        <w:autoSpaceDN w:val="0"/>
        <w:adjustRightInd w:val="0"/>
        <w:rPr>
          <w:rFonts w:ascii="Arial" w:hAnsi="Arial" w:cs="Arial"/>
          <w:sz w:val="20"/>
          <w:szCs w:val="20"/>
        </w:rPr>
      </w:pPr>
    </w:p>
    <w:p w14:paraId="6EB5F427" w14:textId="69F8139C"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Ascierto, P.A., Dummer, R., Gogas, </w:t>
      </w:r>
      <w:proofErr w:type="gramStart"/>
      <w:r w:rsidRPr="00850C71">
        <w:rPr>
          <w:rFonts w:ascii="Arial" w:hAnsi="Arial" w:cs="Arial"/>
          <w:sz w:val="20"/>
          <w:szCs w:val="20"/>
        </w:rPr>
        <w:t>H.J,,</w:t>
      </w:r>
      <w:proofErr w:type="gramEnd"/>
      <w:r w:rsidRPr="00850C71">
        <w:rPr>
          <w:rFonts w:ascii="Arial" w:hAnsi="Arial" w:cs="Arial"/>
          <w:sz w:val="20"/>
          <w:szCs w:val="20"/>
        </w:rPr>
        <w:t xml:space="preserve"> et. al. Update on tolerability and overall survival in COLUMBUS: landmark analysis of a randomised phase 3 trial of encorafenib plus binimetinib vs vemurafenib or encorafenib in patients with BRAF V600E mutant melanoma, Eur. J. Cancer, </w:t>
      </w:r>
      <w:r w:rsidRPr="00850C71">
        <w:rPr>
          <w:rFonts w:ascii="Arial" w:hAnsi="Arial" w:cs="Arial"/>
          <w:b/>
          <w:bCs/>
          <w:sz w:val="20"/>
          <w:szCs w:val="20"/>
        </w:rPr>
        <w:t>2020</w:t>
      </w:r>
      <w:r w:rsidRPr="00850C71">
        <w:rPr>
          <w:rFonts w:ascii="Arial" w:hAnsi="Arial" w:cs="Arial"/>
          <w:sz w:val="20"/>
          <w:szCs w:val="20"/>
        </w:rPr>
        <w:t xml:space="preserve">, </w:t>
      </w:r>
      <w:r w:rsidRPr="00850C71">
        <w:rPr>
          <w:rFonts w:ascii="Arial" w:hAnsi="Arial" w:cs="Arial"/>
          <w:i/>
          <w:iCs/>
          <w:sz w:val="20"/>
          <w:szCs w:val="20"/>
        </w:rPr>
        <w:t>126</w:t>
      </w:r>
      <w:r w:rsidRPr="00850C71">
        <w:rPr>
          <w:rFonts w:ascii="Arial" w:hAnsi="Arial" w:cs="Arial"/>
          <w:sz w:val="20"/>
          <w:szCs w:val="20"/>
        </w:rPr>
        <w:t>, 33-44.</w:t>
      </w:r>
    </w:p>
    <w:p w14:paraId="7AB14D1A" w14:textId="7EE7CC96" w:rsidR="00533FB4" w:rsidRPr="00533FB4" w:rsidRDefault="00533FB4" w:rsidP="00533FB4">
      <w:pPr>
        <w:widowControl/>
        <w:autoSpaceDE w:val="0"/>
        <w:autoSpaceDN w:val="0"/>
        <w:adjustRightInd w:val="0"/>
        <w:rPr>
          <w:rFonts w:ascii="Arial" w:hAnsi="Arial" w:cs="Arial"/>
          <w:sz w:val="20"/>
          <w:szCs w:val="20"/>
        </w:rPr>
      </w:pPr>
    </w:p>
    <w:p w14:paraId="1DA0974C" w14:textId="57D0C7C1"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Koelblinger, P., Thuerigen, O., Dummer,  R. Development of Encorafenib for BRAF-Mutated Advanced Melanoma, Curr. Opin. Onc. </w:t>
      </w:r>
      <w:r w:rsidRPr="00850C71">
        <w:rPr>
          <w:rFonts w:ascii="Arial" w:hAnsi="Arial" w:cs="Arial"/>
          <w:b/>
          <w:bCs/>
          <w:sz w:val="20"/>
          <w:szCs w:val="20"/>
        </w:rPr>
        <w:t>2018</w:t>
      </w:r>
      <w:r w:rsidRPr="00850C71">
        <w:rPr>
          <w:rFonts w:ascii="Arial" w:hAnsi="Arial" w:cs="Arial"/>
          <w:sz w:val="20"/>
          <w:szCs w:val="20"/>
        </w:rPr>
        <w:t xml:space="preserve">, </w:t>
      </w:r>
      <w:r w:rsidRPr="00850C71">
        <w:rPr>
          <w:rFonts w:ascii="Arial" w:hAnsi="Arial" w:cs="Arial"/>
          <w:i/>
          <w:iCs/>
          <w:sz w:val="20"/>
          <w:szCs w:val="20"/>
        </w:rPr>
        <w:t>30</w:t>
      </w:r>
      <w:r w:rsidRPr="00850C71">
        <w:rPr>
          <w:rFonts w:ascii="Arial" w:hAnsi="Arial" w:cs="Arial"/>
          <w:sz w:val="20"/>
          <w:szCs w:val="20"/>
        </w:rPr>
        <w:t>, 125-133.</w:t>
      </w:r>
    </w:p>
    <w:p w14:paraId="66AF0C21" w14:textId="64712E1F" w:rsidR="00533FB4" w:rsidRPr="00533FB4" w:rsidRDefault="00533FB4" w:rsidP="00533FB4">
      <w:pPr>
        <w:widowControl/>
        <w:autoSpaceDE w:val="0"/>
        <w:autoSpaceDN w:val="0"/>
        <w:adjustRightInd w:val="0"/>
        <w:rPr>
          <w:rFonts w:ascii="Arial" w:hAnsi="Arial" w:cs="Arial"/>
          <w:sz w:val="20"/>
          <w:szCs w:val="20"/>
        </w:rPr>
      </w:pPr>
    </w:p>
    <w:p w14:paraId="650336D2" w14:textId="4EDD6519"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Dummer R, Ascierto PA, Gogas H, et al. Overall survival in COLUMBUS: A phase 3 trial of encorafenib (ENCO) plus binimetinib (BINI) vs vemurafenib (VEM) or enco in </w:t>
      </w:r>
      <w:r w:rsidRPr="00850C71">
        <w:rPr>
          <w:rFonts w:ascii="Arial" w:hAnsi="Arial" w:cs="Arial"/>
          <w:i/>
          <w:iCs/>
          <w:sz w:val="20"/>
          <w:szCs w:val="20"/>
        </w:rPr>
        <w:t>BRAF</w:t>
      </w:r>
      <w:r w:rsidRPr="00850C71">
        <w:rPr>
          <w:rFonts w:ascii="Arial" w:hAnsi="Arial" w:cs="Arial"/>
          <w:sz w:val="20"/>
          <w:szCs w:val="20"/>
        </w:rPr>
        <w:t>-mutant melanoma. J Clin Oncol. 2018;36(15 Suppl):9504.</w:t>
      </w:r>
    </w:p>
    <w:p w14:paraId="109C0BD1" w14:textId="4D7DF9D6" w:rsidR="00533FB4" w:rsidRPr="00533FB4" w:rsidRDefault="00533FB4" w:rsidP="00533FB4">
      <w:pPr>
        <w:widowControl/>
        <w:autoSpaceDE w:val="0"/>
        <w:autoSpaceDN w:val="0"/>
        <w:adjustRightInd w:val="0"/>
        <w:rPr>
          <w:rFonts w:ascii="Arial" w:hAnsi="Arial" w:cs="Arial"/>
          <w:sz w:val="20"/>
          <w:szCs w:val="20"/>
        </w:rPr>
      </w:pPr>
    </w:p>
    <w:p w14:paraId="74E66752" w14:textId="1656AB15"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 et al. Results of COLUMBUS Part 2: a phase 3 trial of encorafenib (ENCO) plus binimetinib (BINI) versus ENCO in BRAF-mutant melanoma. Ann Oncol. 2017;28(Suppl 5):v429–30.</w:t>
      </w:r>
    </w:p>
    <w:p w14:paraId="1BCC2F91" w14:textId="03499815" w:rsidR="00533FB4" w:rsidRPr="00533FB4" w:rsidRDefault="00533FB4" w:rsidP="00533FB4">
      <w:pPr>
        <w:widowControl/>
        <w:autoSpaceDE w:val="0"/>
        <w:autoSpaceDN w:val="0"/>
        <w:adjustRightInd w:val="0"/>
        <w:rPr>
          <w:rFonts w:ascii="Arial" w:hAnsi="Arial" w:cs="Arial"/>
          <w:sz w:val="20"/>
          <w:szCs w:val="20"/>
        </w:rPr>
      </w:pPr>
    </w:p>
    <w:p w14:paraId="395C1F44" w14:textId="66D7FAA1"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Shirley, M. Encorafenib and Binimetinib: First Global Approvals, </w:t>
      </w:r>
      <w:r w:rsidRPr="00850C71">
        <w:rPr>
          <w:rFonts w:ascii="Arial" w:hAnsi="Arial" w:cs="Arial"/>
          <w:i/>
          <w:iCs/>
          <w:sz w:val="20"/>
          <w:szCs w:val="20"/>
        </w:rPr>
        <w:t>Drugs</w:t>
      </w:r>
      <w:r w:rsidRPr="00850C71">
        <w:rPr>
          <w:rFonts w:ascii="Arial" w:hAnsi="Arial" w:cs="Arial"/>
          <w:sz w:val="20"/>
          <w:szCs w:val="20"/>
        </w:rPr>
        <w:t xml:space="preserve">, </w:t>
      </w:r>
      <w:r w:rsidRPr="00850C71">
        <w:rPr>
          <w:rFonts w:ascii="Arial" w:hAnsi="Arial" w:cs="Arial"/>
          <w:b/>
          <w:bCs/>
          <w:sz w:val="20"/>
          <w:szCs w:val="20"/>
        </w:rPr>
        <w:t>2018</w:t>
      </w:r>
      <w:r w:rsidRPr="00850C71">
        <w:rPr>
          <w:rFonts w:ascii="Arial" w:hAnsi="Arial" w:cs="Arial"/>
          <w:sz w:val="20"/>
          <w:szCs w:val="20"/>
        </w:rPr>
        <w:t xml:space="preserve">, </w:t>
      </w:r>
      <w:r w:rsidRPr="00850C71">
        <w:rPr>
          <w:rFonts w:ascii="Arial" w:hAnsi="Arial" w:cs="Arial"/>
          <w:i/>
          <w:iCs/>
          <w:sz w:val="20"/>
          <w:szCs w:val="20"/>
        </w:rPr>
        <w:t>78</w:t>
      </w:r>
      <w:r w:rsidRPr="00850C71">
        <w:rPr>
          <w:rFonts w:ascii="Arial" w:hAnsi="Arial" w:cs="Arial"/>
          <w:sz w:val="20"/>
          <w:szCs w:val="20"/>
        </w:rPr>
        <w:t>, 1277-1284.</w:t>
      </w:r>
    </w:p>
    <w:p w14:paraId="6C33EF17" w14:textId="1F683394" w:rsidR="00533FB4" w:rsidRDefault="00533FB4" w:rsidP="00533FB4">
      <w:pPr>
        <w:widowControl/>
        <w:autoSpaceDE w:val="0"/>
        <w:autoSpaceDN w:val="0"/>
        <w:adjustRightInd w:val="0"/>
        <w:rPr>
          <w:rFonts w:ascii="Arial" w:hAnsi="Arial" w:cs="Arial"/>
          <w:sz w:val="20"/>
          <w:szCs w:val="20"/>
        </w:rPr>
      </w:pPr>
    </w:p>
    <w:sectPr w:rsidR="00533FB4">
      <w:headerReference w:type="default" r:id="rId12"/>
      <w:footerReference w:type="default" r:id="rId13"/>
      <w:pgSz w:w="12220" w:h="15840"/>
      <w:pgMar w:top="480" w:right="400" w:bottom="460" w:left="420" w:header="280" w:footer="2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59B28" w14:textId="77777777" w:rsidR="00550D18" w:rsidRDefault="00550D18">
      <w:r>
        <w:separator/>
      </w:r>
    </w:p>
  </w:endnote>
  <w:endnote w:type="continuationSeparator" w:id="0">
    <w:p w14:paraId="48FC7013" w14:textId="77777777" w:rsidR="00550D18" w:rsidRDefault="00550D18">
      <w:r>
        <w:continuationSeparator/>
      </w:r>
    </w:p>
  </w:endnote>
  <w:endnote w:type="continuationNotice" w:id="1">
    <w:p w14:paraId="012FC492" w14:textId="77777777" w:rsidR="00550D18" w:rsidRDefault="00550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6EE0" w14:textId="77777777" w:rsidR="00336EAA" w:rsidRDefault="000C259D">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2F393F9E" wp14:editId="424A600C">
              <wp:simplePos x="0" y="0"/>
              <wp:positionH relativeFrom="page">
                <wp:posOffset>317500</wp:posOffset>
              </wp:positionH>
              <wp:positionV relativeFrom="page">
                <wp:posOffset>9753600</wp:posOffset>
              </wp:positionV>
              <wp:extent cx="2235200" cy="12700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93F9E" id="_x0000_t202" coordsize="21600,21600" o:spt="202" path="m,l,21600r21600,l21600,xe">
              <v:stroke joinstyle="miter"/>
              <v:path gradientshapeok="t" o:connecttype="rect"/>
            </v:shapetype>
            <v:shape id="Text Box 2" o:spid="_x0000_s1026" type="#_x0000_t202" style="position:absolute;margin-left:25pt;margin-top:768pt;width:17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" filled="f" stroked="f">
              <v:textbox inset="0,0,0,0">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A53896C" wp14:editId="31CBBEA4">
              <wp:simplePos x="0" y="0"/>
              <wp:positionH relativeFrom="page">
                <wp:posOffset>7277100</wp:posOffset>
              </wp:positionH>
              <wp:positionV relativeFrom="page">
                <wp:posOffset>9753600</wp:posOffset>
              </wp:positionV>
              <wp:extent cx="165100" cy="127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896C" id="Text Box 1" o:spid="_x0000_s1027" type="#_x0000_t202" style="position:absolute;margin-left:573pt;margin-top:768pt;width:13pt;height:10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" filled="f" stroked="f">
              <v:textbox inset="0,0,0,0">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B315C" w14:textId="77777777" w:rsidR="00550D18" w:rsidRDefault="00550D18">
      <w:r>
        <w:separator/>
      </w:r>
    </w:p>
  </w:footnote>
  <w:footnote w:type="continuationSeparator" w:id="0">
    <w:p w14:paraId="16A3B4AA" w14:textId="77777777" w:rsidR="00550D18" w:rsidRDefault="00550D18">
      <w:r>
        <w:continuationSeparator/>
      </w:r>
    </w:p>
  </w:footnote>
  <w:footnote w:type="continuationNotice" w:id="1">
    <w:p w14:paraId="143BF7DF" w14:textId="77777777" w:rsidR="00550D18" w:rsidRDefault="00550D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4D48" w14:textId="6B6C5198" w:rsidR="00336EAA" w:rsidRDefault="00336EAA">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E7A61"/>
    <w:multiLevelType w:val="multilevel"/>
    <w:tmpl w:val="71D46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AC756B"/>
    <w:multiLevelType w:val="hybridMultilevel"/>
    <w:tmpl w:val="3994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340C8A"/>
    <w:multiLevelType w:val="hybridMultilevel"/>
    <w:tmpl w:val="221000B6"/>
    <w:lvl w:ilvl="0" w:tplc="4254E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A"/>
    <w:rsid w:val="00000741"/>
    <w:rsid w:val="00011C1A"/>
    <w:rsid w:val="0001711E"/>
    <w:rsid w:val="000210EC"/>
    <w:rsid w:val="00025FD3"/>
    <w:rsid w:val="00026E2E"/>
    <w:rsid w:val="0002739C"/>
    <w:rsid w:val="000340BC"/>
    <w:rsid w:val="00040C99"/>
    <w:rsid w:val="000410F7"/>
    <w:rsid w:val="0004172B"/>
    <w:rsid w:val="00042071"/>
    <w:rsid w:val="00047E96"/>
    <w:rsid w:val="000509C4"/>
    <w:rsid w:val="00052145"/>
    <w:rsid w:val="00052DF0"/>
    <w:rsid w:val="00062ABD"/>
    <w:rsid w:val="0006742C"/>
    <w:rsid w:val="000706BE"/>
    <w:rsid w:val="00071618"/>
    <w:rsid w:val="000723E5"/>
    <w:rsid w:val="0007394C"/>
    <w:rsid w:val="00073CA6"/>
    <w:rsid w:val="00074A0E"/>
    <w:rsid w:val="00083985"/>
    <w:rsid w:val="00090BC2"/>
    <w:rsid w:val="00091B2C"/>
    <w:rsid w:val="000923AD"/>
    <w:rsid w:val="000930C8"/>
    <w:rsid w:val="00097DEE"/>
    <w:rsid w:val="000A1515"/>
    <w:rsid w:val="000A2946"/>
    <w:rsid w:val="000A7D92"/>
    <w:rsid w:val="000B0867"/>
    <w:rsid w:val="000B37FA"/>
    <w:rsid w:val="000C259D"/>
    <w:rsid w:val="000C3A6E"/>
    <w:rsid w:val="000E0022"/>
    <w:rsid w:val="000E17BA"/>
    <w:rsid w:val="000E2534"/>
    <w:rsid w:val="000E60C0"/>
    <w:rsid w:val="000F04E5"/>
    <w:rsid w:val="000F5EDC"/>
    <w:rsid w:val="000F7075"/>
    <w:rsid w:val="001001C0"/>
    <w:rsid w:val="00103C34"/>
    <w:rsid w:val="00103FBA"/>
    <w:rsid w:val="001070B0"/>
    <w:rsid w:val="00113410"/>
    <w:rsid w:val="00115776"/>
    <w:rsid w:val="00120850"/>
    <w:rsid w:val="00121978"/>
    <w:rsid w:val="0012401C"/>
    <w:rsid w:val="0012612D"/>
    <w:rsid w:val="00127801"/>
    <w:rsid w:val="00130954"/>
    <w:rsid w:val="00133F06"/>
    <w:rsid w:val="001434D9"/>
    <w:rsid w:val="00144F89"/>
    <w:rsid w:val="0014549C"/>
    <w:rsid w:val="00164187"/>
    <w:rsid w:val="001653E3"/>
    <w:rsid w:val="00167761"/>
    <w:rsid w:val="00173570"/>
    <w:rsid w:val="00174DBC"/>
    <w:rsid w:val="0017621A"/>
    <w:rsid w:val="001766F8"/>
    <w:rsid w:val="0018344C"/>
    <w:rsid w:val="001836D6"/>
    <w:rsid w:val="00187CE7"/>
    <w:rsid w:val="00190F21"/>
    <w:rsid w:val="00191687"/>
    <w:rsid w:val="001918CF"/>
    <w:rsid w:val="00191E5B"/>
    <w:rsid w:val="00191F6F"/>
    <w:rsid w:val="0019518A"/>
    <w:rsid w:val="00196A4D"/>
    <w:rsid w:val="001B1D86"/>
    <w:rsid w:val="001B417A"/>
    <w:rsid w:val="001B7FEB"/>
    <w:rsid w:val="001C0030"/>
    <w:rsid w:val="001C10FE"/>
    <w:rsid w:val="001C24F4"/>
    <w:rsid w:val="001C53B1"/>
    <w:rsid w:val="001D04AD"/>
    <w:rsid w:val="001D6331"/>
    <w:rsid w:val="001E12A6"/>
    <w:rsid w:val="001E39F2"/>
    <w:rsid w:val="001E3EA3"/>
    <w:rsid w:val="00201A20"/>
    <w:rsid w:val="00211131"/>
    <w:rsid w:val="002125C9"/>
    <w:rsid w:val="00214128"/>
    <w:rsid w:val="00215C5C"/>
    <w:rsid w:val="00220F55"/>
    <w:rsid w:val="002216BD"/>
    <w:rsid w:val="00223CB5"/>
    <w:rsid w:val="00224091"/>
    <w:rsid w:val="002252C3"/>
    <w:rsid w:val="002415B5"/>
    <w:rsid w:val="00244403"/>
    <w:rsid w:val="00246A12"/>
    <w:rsid w:val="002534D3"/>
    <w:rsid w:val="002537F0"/>
    <w:rsid w:val="00254635"/>
    <w:rsid w:val="0025566E"/>
    <w:rsid w:val="00256213"/>
    <w:rsid w:val="002571A7"/>
    <w:rsid w:val="00257345"/>
    <w:rsid w:val="00261ADD"/>
    <w:rsid w:val="00264604"/>
    <w:rsid w:val="00271F2B"/>
    <w:rsid w:val="002722E4"/>
    <w:rsid w:val="00272932"/>
    <w:rsid w:val="00272CF3"/>
    <w:rsid w:val="00276126"/>
    <w:rsid w:val="0029159B"/>
    <w:rsid w:val="00292280"/>
    <w:rsid w:val="002B1169"/>
    <w:rsid w:val="002B183D"/>
    <w:rsid w:val="002B3927"/>
    <w:rsid w:val="002B6273"/>
    <w:rsid w:val="002C1D09"/>
    <w:rsid w:val="002C3C2B"/>
    <w:rsid w:val="002D55E1"/>
    <w:rsid w:val="002D6794"/>
    <w:rsid w:val="002E06A3"/>
    <w:rsid w:val="002E1952"/>
    <w:rsid w:val="002E4811"/>
    <w:rsid w:val="002E56F5"/>
    <w:rsid w:val="002E6998"/>
    <w:rsid w:val="002F2993"/>
    <w:rsid w:val="002F4450"/>
    <w:rsid w:val="002F7268"/>
    <w:rsid w:val="00301F54"/>
    <w:rsid w:val="003035AA"/>
    <w:rsid w:val="003143F0"/>
    <w:rsid w:val="00317C48"/>
    <w:rsid w:val="00324512"/>
    <w:rsid w:val="00327E35"/>
    <w:rsid w:val="0033336B"/>
    <w:rsid w:val="00334E6D"/>
    <w:rsid w:val="00336639"/>
    <w:rsid w:val="00336EAA"/>
    <w:rsid w:val="0034054A"/>
    <w:rsid w:val="00345012"/>
    <w:rsid w:val="003456CB"/>
    <w:rsid w:val="003515B5"/>
    <w:rsid w:val="003553E6"/>
    <w:rsid w:val="00355924"/>
    <w:rsid w:val="00355F28"/>
    <w:rsid w:val="00357188"/>
    <w:rsid w:val="00357A6A"/>
    <w:rsid w:val="00361020"/>
    <w:rsid w:val="003641F9"/>
    <w:rsid w:val="003668D1"/>
    <w:rsid w:val="003712BC"/>
    <w:rsid w:val="0037314F"/>
    <w:rsid w:val="00382FEA"/>
    <w:rsid w:val="003837CC"/>
    <w:rsid w:val="00385C57"/>
    <w:rsid w:val="00390B62"/>
    <w:rsid w:val="00391DA5"/>
    <w:rsid w:val="00391DD8"/>
    <w:rsid w:val="003A2971"/>
    <w:rsid w:val="003B0D70"/>
    <w:rsid w:val="003B2002"/>
    <w:rsid w:val="003B4C94"/>
    <w:rsid w:val="003B4D7B"/>
    <w:rsid w:val="003B7A9A"/>
    <w:rsid w:val="003C16CE"/>
    <w:rsid w:val="003C56DB"/>
    <w:rsid w:val="003C58CD"/>
    <w:rsid w:val="003C666A"/>
    <w:rsid w:val="003C7C5F"/>
    <w:rsid w:val="003D02B3"/>
    <w:rsid w:val="003D151B"/>
    <w:rsid w:val="003E222C"/>
    <w:rsid w:val="003E5F93"/>
    <w:rsid w:val="003F3D29"/>
    <w:rsid w:val="003F46D8"/>
    <w:rsid w:val="003F4FA6"/>
    <w:rsid w:val="00402755"/>
    <w:rsid w:val="00416C2C"/>
    <w:rsid w:val="0043099D"/>
    <w:rsid w:val="0043258A"/>
    <w:rsid w:val="00437E84"/>
    <w:rsid w:val="00440E57"/>
    <w:rsid w:val="0044156D"/>
    <w:rsid w:val="00441FAC"/>
    <w:rsid w:val="004425E3"/>
    <w:rsid w:val="0045246A"/>
    <w:rsid w:val="00455F31"/>
    <w:rsid w:val="00457C76"/>
    <w:rsid w:val="00463F64"/>
    <w:rsid w:val="004640E9"/>
    <w:rsid w:val="004647AF"/>
    <w:rsid w:val="004651B8"/>
    <w:rsid w:val="00472F15"/>
    <w:rsid w:val="0048005D"/>
    <w:rsid w:val="004877BC"/>
    <w:rsid w:val="0049564D"/>
    <w:rsid w:val="00495A4A"/>
    <w:rsid w:val="004A637C"/>
    <w:rsid w:val="004A6921"/>
    <w:rsid w:val="004B0E6F"/>
    <w:rsid w:val="004B6B8E"/>
    <w:rsid w:val="004C76D4"/>
    <w:rsid w:val="004C791E"/>
    <w:rsid w:val="004D0612"/>
    <w:rsid w:val="004D1CE4"/>
    <w:rsid w:val="004D20FA"/>
    <w:rsid w:val="004D25FD"/>
    <w:rsid w:val="004D74F4"/>
    <w:rsid w:val="004E5B94"/>
    <w:rsid w:val="004E7175"/>
    <w:rsid w:val="004F258B"/>
    <w:rsid w:val="00501C25"/>
    <w:rsid w:val="00502803"/>
    <w:rsid w:val="00510BFD"/>
    <w:rsid w:val="0051209A"/>
    <w:rsid w:val="00521BD0"/>
    <w:rsid w:val="00521F62"/>
    <w:rsid w:val="00521F68"/>
    <w:rsid w:val="005312E9"/>
    <w:rsid w:val="005336D9"/>
    <w:rsid w:val="00533FB4"/>
    <w:rsid w:val="005417EE"/>
    <w:rsid w:val="005433D6"/>
    <w:rsid w:val="00545107"/>
    <w:rsid w:val="00545B43"/>
    <w:rsid w:val="00546653"/>
    <w:rsid w:val="00550D18"/>
    <w:rsid w:val="0055663F"/>
    <w:rsid w:val="00564D3D"/>
    <w:rsid w:val="00570339"/>
    <w:rsid w:val="0057091F"/>
    <w:rsid w:val="00572A23"/>
    <w:rsid w:val="0057594A"/>
    <w:rsid w:val="005770F1"/>
    <w:rsid w:val="0057724C"/>
    <w:rsid w:val="00577FE4"/>
    <w:rsid w:val="00583830"/>
    <w:rsid w:val="005867D6"/>
    <w:rsid w:val="00586911"/>
    <w:rsid w:val="00586B59"/>
    <w:rsid w:val="00590867"/>
    <w:rsid w:val="0059248E"/>
    <w:rsid w:val="005A3397"/>
    <w:rsid w:val="005A45A0"/>
    <w:rsid w:val="005A6897"/>
    <w:rsid w:val="005B1726"/>
    <w:rsid w:val="005B1EA6"/>
    <w:rsid w:val="005B456B"/>
    <w:rsid w:val="005C63D2"/>
    <w:rsid w:val="005D32B6"/>
    <w:rsid w:val="005D6132"/>
    <w:rsid w:val="005D6E2C"/>
    <w:rsid w:val="005E0AED"/>
    <w:rsid w:val="005F0553"/>
    <w:rsid w:val="005F6705"/>
    <w:rsid w:val="00600B13"/>
    <w:rsid w:val="00611E41"/>
    <w:rsid w:val="00613E99"/>
    <w:rsid w:val="00615344"/>
    <w:rsid w:val="006229F8"/>
    <w:rsid w:val="00623059"/>
    <w:rsid w:val="00634007"/>
    <w:rsid w:val="0063756F"/>
    <w:rsid w:val="0064425B"/>
    <w:rsid w:val="00646D7C"/>
    <w:rsid w:val="0065073C"/>
    <w:rsid w:val="006518F6"/>
    <w:rsid w:val="00653C3C"/>
    <w:rsid w:val="00660204"/>
    <w:rsid w:val="0066392A"/>
    <w:rsid w:val="006642AC"/>
    <w:rsid w:val="00664CD4"/>
    <w:rsid w:val="006774EB"/>
    <w:rsid w:val="00681649"/>
    <w:rsid w:val="006848C1"/>
    <w:rsid w:val="006910C6"/>
    <w:rsid w:val="00695F25"/>
    <w:rsid w:val="00697301"/>
    <w:rsid w:val="006A02DE"/>
    <w:rsid w:val="006A0D97"/>
    <w:rsid w:val="006A1747"/>
    <w:rsid w:val="006A4CFC"/>
    <w:rsid w:val="006A4F3E"/>
    <w:rsid w:val="006A6399"/>
    <w:rsid w:val="006B02EA"/>
    <w:rsid w:val="006B7CB3"/>
    <w:rsid w:val="006C0596"/>
    <w:rsid w:val="006C3955"/>
    <w:rsid w:val="006C43EA"/>
    <w:rsid w:val="006C5B48"/>
    <w:rsid w:val="006D0EF8"/>
    <w:rsid w:val="006D1DAE"/>
    <w:rsid w:val="006D6521"/>
    <w:rsid w:val="006E0709"/>
    <w:rsid w:val="006E1249"/>
    <w:rsid w:val="006E28E7"/>
    <w:rsid w:val="006E34EC"/>
    <w:rsid w:val="006E5219"/>
    <w:rsid w:val="007015C1"/>
    <w:rsid w:val="00701D5B"/>
    <w:rsid w:val="00702D04"/>
    <w:rsid w:val="00705F65"/>
    <w:rsid w:val="00706CA2"/>
    <w:rsid w:val="00717E51"/>
    <w:rsid w:val="00721AFD"/>
    <w:rsid w:val="00723112"/>
    <w:rsid w:val="00724CB1"/>
    <w:rsid w:val="007257E7"/>
    <w:rsid w:val="007315F7"/>
    <w:rsid w:val="007316E5"/>
    <w:rsid w:val="007318B2"/>
    <w:rsid w:val="0073596E"/>
    <w:rsid w:val="007359DF"/>
    <w:rsid w:val="007377FB"/>
    <w:rsid w:val="00742E10"/>
    <w:rsid w:val="00745AFD"/>
    <w:rsid w:val="007463F3"/>
    <w:rsid w:val="00751748"/>
    <w:rsid w:val="00753CE7"/>
    <w:rsid w:val="0075410B"/>
    <w:rsid w:val="007564DC"/>
    <w:rsid w:val="00756AB0"/>
    <w:rsid w:val="00763D34"/>
    <w:rsid w:val="00765AFE"/>
    <w:rsid w:val="00765EE8"/>
    <w:rsid w:val="00770809"/>
    <w:rsid w:val="00771245"/>
    <w:rsid w:val="007733DF"/>
    <w:rsid w:val="007765E7"/>
    <w:rsid w:val="00783BF5"/>
    <w:rsid w:val="0079042B"/>
    <w:rsid w:val="007922C1"/>
    <w:rsid w:val="00797C6C"/>
    <w:rsid w:val="007A2010"/>
    <w:rsid w:val="007B5C7C"/>
    <w:rsid w:val="007B601C"/>
    <w:rsid w:val="007B7E91"/>
    <w:rsid w:val="007C0A86"/>
    <w:rsid w:val="007C306E"/>
    <w:rsid w:val="007D2791"/>
    <w:rsid w:val="007D57EC"/>
    <w:rsid w:val="007D593A"/>
    <w:rsid w:val="007D65DF"/>
    <w:rsid w:val="007D6702"/>
    <w:rsid w:val="007E6D20"/>
    <w:rsid w:val="007E7816"/>
    <w:rsid w:val="007F25EF"/>
    <w:rsid w:val="007F4762"/>
    <w:rsid w:val="007F6326"/>
    <w:rsid w:val="008015E9"/>
    <w:rsid w:val="00801E5A"/>
    <w:rsid w:val="008050C7"/>
    <w:rsid w:val="0081177B"/>
    <w:rsid w:val="00812980"/>
    <w:rsid w:val="00827665"/>
    <w:rsid w:val="00830815"/>
    <w:rsid w:val="00842A1C"/>
    <w:rsid w:val="008453F8"/>
    <w:rsid w:val="00847139"/>
    <w:rsid w:val="0085018E"/>
    <w:rsid w:val="00850C71"/>
    <w:rsid w:val="008516FB"/>
    <w:rsid w:val="00854A5E"/>
    <w:rsid w:val="0085731B"/>
    <w:rsid w:val="00862D6F"/>
    <w:rsid w:val="00867689"/>
    <w:rsid w:val="00886519"/>
    <w:rsid w:val="008913F1"/>
    <w:rsid w:val="00894B3A"/>
    <w:rsid w:val="00897E38"/>
    <w:rsid w:val="008A07D5"/>
    <w:rsid w:val="008B2E08"/>
    <w:rsid w:val="008B3FFA"/>
    <w:rsid w:val="008B592E"/>
    <w:rsid w:val="008C084F"/>
    <w:rsid w:val="008C4343"/>
    <w:rsid w:val="008D6FDB"/>
    <w:rsid w:val="008F0F07"/>
    <w:rsid w:val="008F23B1"/>
    <w:rsid w:val="008F6531"/>
    <w:rsid w:val="00907158"/>
    <w:rsid w:val="009106E7"/>
    <w:rsid w:val="00913553"/>
    <w:rsid w:val="009137CD"/>
    <w:rsid w:val="00914112"/>
    <w:rsid w:val="0091779D"/>
    <w:rsid w:val="0092176A"/>
    <w:rsid w:val="00925EAF"/>
    <w:rsid w:val="009310CC"/>
    <w:rsid w:val="0093171B"/>
    <w:rsid w:val="009331A0"/>
    <w:rsid w:val="00934514"/>
    <w:rsid w:val="00935344"/>
    <w:rsid w:val="00935C57"/>
    <w:rsid w:val="00936094"/>
    <w:rsid w:val="00944EC0"/>
    <w:rsid w:val="0095670D"/>
    <w:rsid w:val="00961DC9"/>
    <w:rsid w:val="00962C7D"/>
    <w:rsid w:val="009637C5"/>
    <w:rsid w:val="009719CA"/>
    <w:rsid w:val="00973858"/>
    <w:rsid w:val="00984A9E"/>
    <w:rsid w:val="0098661C"/>
    <w:rsid w:val="009A1A64"/>
    <w:rsid w:val="009A2971"/>
    <w:rsid w:val="009A3D16"/>
    <w:rsid w:val="009B4702"/>
    <w:rsid w:val="009B584F"/>
    <w:rsid w:val="009B5F13"/>
    <w:rsid w:val="009C16E4"/>
    <w:rsid w:val="009C3A73"/>
    <w:rsid w:val="009C4645"/>
    <w:rsid w:val="009C5BA3"/>
    <w:rsid w:val="009C60C5"/>
    <w:rsid w:val="009D0985"/>
    <w:rsid w:val="009D0DA7"/>
    <w:rsid w:val="009D36C8"/>
    <w:rsid w:val="009D4A68"/>
    <w:rsid w:val="009D715C"/>
    <w:rsid w:val="009E0627"/>
    <w:rsid w:val="009E2241"/>
    <w:rsid w:val="009E522F"/>
    <w:rsid w:val="009E7449"/>
    <w:rsid w:val="009F2102"/>
    <w:rsid w:val="00A0110B"/>
    <w:rsid w:val="00A019DE"/>
    <w:rsid w:val="00A1123C"/>
    <w:rsid w:val="00A2180B"/>
    <w:rsid w:val="00A227D3"/>
    <w:rsid w:val="00A345AB"/>
    <w:rsid w:val="00A37D88"/>
    <w:rsid w:val="00A4016E"/>
    <w:rsid w:val="00A42004"/>
    <w:rsid w:val="00A42A9B"/>
    <w:rsid w:val="00A47C1D"/>
    <w:rsid w:val="00A50701"/>
    <w:rsid w:val="00A52D6C"/>
    <w:rsid w:val="00A671D1"/>
    <w:rsid w:val="00A67AC3"/>
    <w:rsid w:val="00A7400D"/>
    <w:rsid w:val="00A76113"/>
    <w:rsid w:val="00A80CB8"/>
    <w:rsid w:val="00A85BE9"/>
    <w:rsid w:val="00A91F24"/>
    <w:rsid w:val="00A945B6"/>
    <w:rsid w:val="00A96310"/>
    <w:rsid w:val="00AA0EA2"/>
    <w:rsid w:val="00AA5851"/>
    <w:rsid w:val="00AA5BCC"/>
    <w:rsid w:val="00AA6E60"/>
    <w:rsid w:val="00AA6FBB"/>
    <w:rsid w:val="00AA7065"/>
    <w:rsid w:val="00AB13FF"/>
    <w:rsid w:val="00AB38AF"/>
    <w:rsid w:val="00AC0CF1"/>
    <w:rsid w:val="00AC237F"/>
    <w:rsid w:val="00AC7933"/>
    <w:rsid w:val="00AD24AB"/>
    <w:rsid w:val="00AD48CF"/>
    <w:rsid w:val="00AD693D"/>
    <w:rsid w:val="00AE168B"/>
    <w:rsid w:val="00AF0E36"/>
    <w:rsid w:val="00AF1175"/>
    <w:rsid w:val="00AF183B"/>
    <w:rsid w:val="00AF4013"/>
    <w:rsid w:val="00AF432C"/>
    <w:rsid w:val="00B023A7"/>
    <w:rsid w:val="00B036E5"/>
    <w:rsid w:val="00B057CE"/>
    <w:rsid w:val="00B06B5B"/>
    <w:rsid w:val="00B07129"/>
    <w:rsid w:val="00B107A9"/>
    <w:rsid w:val="00B20E38"/>
    <w:rsid w:val="00B22D82"/>
    <w:rsid w:val="00B2459F"/>
    <w:rsid w:val="00B25115"/>
    <w:rsid w:val="00B25A76"/>
    <w:rsid w:val="00B30FC9"/>
    <w:rsid w:val="00B40924"/>
    <w:rsid w:val="00B40F98"/>
    <w:rsid w:val="00B43818"/>
    <w:rsid w:val="00B43AA5"/>
    <w:rsid w:val="00B4527C"/>
    <w:rsid w:val="00B54CB9"/>
    <w:rsid w:val="00B62713"/>
    <w:rsid w:val="00B64015"/>
    <w:rsid w:val="00B712F7"/>
    <w:rsid w:val="00B77AD2"/>
    <w:rsid w:val="00B862FF"/>
    <w:rsid w:val="00B87A75"/>
    <w:rsid w:val="00B90D7D"/>
    <w:rsid w:val="00B93F7E"/>
    <w:rsid w:val="00B94855"/>
    <w:rsid w:val="00BA1944"/>
    <w:rsid w:val="00BA1B53"/>
    <w:rsid w:val="00BA3001"/>
    <w:rsid w:val="00BA3F1E"/>
    <w:rsid w:val="00BB2AB0"/>
    <w:rsid w:val="00BB5948"/>
    <w:rsid w:val="00BB5ADA"/>
    <w:rsid w:val="00BB7AD6"/>
    <w:rsid w:val="00BC18DE"/>
    <w:rsid w:val="00BC4970"/>
    <w:rsid w:val="00BC4CCC"/>
    <w:rsid w:val="00BD05A5"/>
    <w:rsid w:val="00BD12C5"/>
    <w:rsid w:val="00BD2676"/>
    <w:rsid w:val="00BD2D8F"/>
    <w:rsid w:val="00BD75E4"/>
    <w:rsid w:val="00BE1994"/>
    <w:rsid w:val="00BF60B6"/>
    <w:rsid w:val="00C04DE1"/>
    <w:rsid w:val="00C04EC6"/>
    <w:rsid w:val="00C05FA3"/>
    <w:rsid w:val="00C07B7C"/>
    <w:rsid w:val="00C122EE"/>
    <w:rsid w:val="00C13FFD"/>
    <w:rsid w:val="00C24962"/>
    <w:rsid w:val="00C41BAD"/>
    <w:rsid w:val="00C438D0"/>
    <w:rsid w:val="00C470DE"/>
    <w:rsid w:val="00C47192"/>
    <w:rsid w:val="00C565A0"/>
    <w:rsid w:val="00C60121"/>
    <w:rsid w:val="00C612BD"/>
    <w:rsid w:val="00C806F9"/>
    <w:rsid w:val="00C906BD"/>
    <w:rsid w:val="00C91A6F"/>
    <w:rsid w:val="00C92C6F"/>
    <w:rsid w:val="00C9302A"/>
    <w:rsid w:val="00C9337A"/>
    <w:rsid w:val="00C95C4E"/>
    <w:rsid w:val="00C96DA4"/>
    <w:rsid w:val="00C96E58"/>
    <w:rsid w:val="00CA306E"/>
    <w:rsid w:val="00CA41CC"/>
    <w:rsid w:val="00CA682E"/>
    <w:rsid w:val="00CA7125"/>
    <w:rsid w:val="00CB136A"/>
    <w:rsid w:val="00CB2045"/>
    <w:rsid w:val="00CB3848"/>
    <w:rsid w:val="00CC00F6"/>
    <w:rsid w:val="00CC7527"/>
    <w:rsid w:val="00CE4268"/>
    <w:rsid w:val="00D000EB"/>
    <w:rsid w:val="00D00245"/>
    <w:rsid w:val="00D02F99"/>
    <w:rsid w:val="00D10017"/>
    <w:rsid w:val="00D10128"/>
    <w:rsid w:val="00D12463"/>
    <w:rsid w:val="00D139AF"/>
    <w:rsid w:val="00D20D07"/>
    <w:rsid w:val="00D22A8B"/>
    <w:rsid w:val="00D25213"/>
    <w:rsid w:val="00D257E6"/>
    <w:rsid w:val="00D257EE"/>
    <w:rsid w:val="00D26C27"/>
    <w:rsid w:val="00D27164"/>
    <w:rsid w:val="00D36005"/>
    <w:rsid w:val="00D36CCB"/>
    <w:rsid w:val="00D37E7D"/>
    <w:rsid w:val="00D465D9"/>
    <w:rsid w:val="00D52E2D"/>
    <w:rsid w:val="00D54DF8"/>
    <w:rsid w:val="00D57122"/>
    <w:rsid w:val="00D62885"/>
    <w:rsid w:val="00D63A42"/>
    <w:rsid w:val="00D65A20"/>
    <w:rsid w:val="00D66A8E"/>
    <w:rsid w:val="00D70C7C"/>
    <w:rsid w:val="00D7163A"/>
    <w:rsid w:val="00D72363"/>
    <w:rsid w:val="00D724B4"/>
    <w:rsid w:val="00D72E12"/>
    <w:rsid w:val="00D776C3"/>
    <w:rsid w:val="00D80248"/>
    <w:rsid w:val="00D82052"/>
    <w:rsid w:val="00D834FC"/>
    <w:rsid w:val="00D90434"/>
    <w:rsid w:val="00D91963"/>
    <w:rsid w:val="00D92350"/>
    <w:rsid w:val="00D941C7"/>
    <w:rsid w:val="00D95079"/>
    <w:rsid w:val="00DA14A3"/>
    <w:rsid w:val="00DA422E"/>
    <w:rsid w:val="00DB0C85"/>
    <w:rsid w:val="00DB2762"/>
    <w:rsid w:val="00DB5525"/>
    <w:rsid w:val="00DB607F"/>
    <w:rsid w:val="00DB72DB"/>
    <w:rsid w:val="00DC0277"/>
    <w:rsid w:val="00DC3537"/>
    <w:rsid w:val="00DC5CFE"/>
    <w:rsid w:val="00DC66EB"/>
    <w:rsid w:val="00DD2C6A"/>
    <w:rsid w:val="00DD6D98"/>
    <w:rsid w:val="00DE3C00"/>
    <w:rsid w:val="00DE422F"/>
    <w:rsid w:val="00DE7BE6"/>
    <w:rsid w:val="00DF47E3"/>
    <w:rsid w:val="00DF4EA2"/>
    <w:rsid w:val="00E00B7D"/>
    <w:rsid w:val="00E02FBC"/>
    <w:rsid w:val="00E03A8E"/>
    <w:rsid w:val="00E06F5E"/>
    <w:rsid w:val="00E116B6"/>
    <w:rsid w:val="00E12373"/>
    <w:rsid w:val="00E12C35"/>
    <w:rsid w:val="00E12E07"/>
    <w:rsid w:val="00E159E3"/>
    <w:rsid w:val="00E23BF3"/>
    <w:rsid w:val="00E24E89"/>
    <w:rsid w:val="00E32C09"/>
    <w:rsid w:val="00E33D15"/>
    <w:rsid w:val="00E37995"/>
    <w:rsid w:val="00E44996"/>
    <w:rsid w:val="00E45C73"/>
    <w:rsid w:val="00E5044C"/>
    <w:rsid w:val="00E53C9B"/>
    <w:rsid w:val="00E56DE5"/>
    <w:rsid w:val="00E57030"/>
    <w:rsid w:val="00E60E3F"/>
    <w:rsid w:val="00E63B10"/>
    <w:rsid w:val="00E64837"/>
    <w:rsid w:val="00E70F44"/>
    <w:rsid w:val="00E72DB6"/>
    <w:rsid w:val="00E77FF4"/>
    <w:rsid w:val="00E845D4"/>
    <w:rsid w:val="00E90FD5"/>
    <w:rsid w:val="00E91EE3"/>
    <w:rsid w:val="00E926F7"/>
    <w:rsid w:val="00E944B8"/>
    <w:rsid w:val="00EA3E63"/>
    <w:rsid w:val="00EA436A"/>
    <w:rsid w:val="00EB4BDB"/>
    <w:rsid w:val="00EB7E82"/>
    <w:rsid w:val="00EC5031"/>
    <w:rsid w:val="00EC5F25"/>
    <w:rsid w:val="00EC6552"/>
    <w:rsid w:val="00ED1E9E"/>
    <w:rsid w:val="00ED3AA7"/>
    <w:rsid w:val="00ED5D41"/>
    <w:rsid w:val="00EE17E3"/>
    <w:rsid w:val="00EE1FF4"/>
    <w:rsid w:val="00EE5673"/>
    <w:rsid w:val="00EE69DE"/>
    <w:rsid w:val="00EF60AB"/>
    <w:rsid w:val="00F01E0F"/>
    <w:rsid w:val="00F11A65"/>
    <w:rsid w:val="00F15278"/>
    <w:rsid w:val="00F176CC"/>
    <w:rsid w:val="00F247C7"/>
    <w:rsid w:val="00F26F93"/>
    <w:rsid w:val="00F31168"/>
    <w:rsid w:val="00F312E6"/>
    <w:rsid w:val="00F37106"/>
    <w:rsid w:val="00F4230A"/>
    <w:rsid w:val="00F46F9C"/>
    <w:rsid w:val="00F52305"/>
    <w:rsid w:val="00F525F7"/>
    <w:rsid w:val="00F743E7"/>
    <w:rsid w:val="00F901C3"/>
    <w:rsid w:val="00F96BA9"/>
    <w:rsid w:val="00F97313"/>
    <w:rsid w:val="00FA2232"/>
    <w:rsid w:val="00FA3388"/>
    <w:rsid w:val="00FA3E52"/>
    <w:rsid w:val="00FA4D44"/>
    <w:rsid w:val="00FA71CD"/>
    <w:rsid w:val="00FB2495"/>
    <w:rsid w:val="00FB57CA"/>
    <w:rsid w:val="00FC342A"/>
    <w:rsid w:val="00FD1501"/>
    <w:rsid w:val="00FE2844"/>
    <w:rsid w:val="00FE318C"/>
    <w:rsid w:val="00FE445B"/>
    <w:rsid w:val="00FE4FA6"/>
    <w:rsid w:val="00FE63A5"/>
    <w:rsid w:val="00FE74E8"/>
    <w:rsid w:val="00FE7D39"/>
    <w:rsid w:val="00FF2511"/>
    <w:rsid w:val="00FF3D27"/>
    <w:rsid w:val="00FF4284"/>
    <w:rsid w:val="02532D9F"/>
    <w:rsid w:val="03D624AA"/>
    <w:rsid w:val="045728E3"/>
    <w:rsid w:val="1164EB17"/>
    <w:rsid w:val="174187E9"/>
    <w:rsid w:val="2E0295DA"/>
    <w:rsid w:val="2F42EF23"/>
    <w:rsid w:val="2FA620F0"/>
    <w:rsid w:val="40DD9CA7"/>
    <w:rsid w:val="4414A5F1"/>
    <w:rsid w:val="44BC46CD"/>
    <w:rsid w:val="45FAE64C"/>
    <w:rsid w:val="5311F673"/>
    <w:rsid w:val="594EB544"/>
    <w:rsid w:val="5CCB7F47"/>
    <w:rsid w:val="72402449"/>
    <w:rsid w:val="753901F3"/>
    <w:rsid w:val="754FCC70"/>
    <w:rsid w:val="7A572B81"/>
    <w:rsid w:val="7C1347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A1CB89"/>
  <w15:docId w15:val="{35D1D2B9-0F3C-4AD4-8AF0-E0DA71D8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67"/>
      <w:outlineLvl w:val="0"/>
    </w:pPr>
    <w:rPr>
      <w:rFonts w:ascii="Times New Roman" w:eastAsia="Times New Roman" w:hAnsi="Times New Roman"/>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7"/>
    </w:pPr>
    <w:rPr>
      <w:rFonts w:ascii="Times New Roman" w:eastAsia="Times New Roman" w:hAnsi="Times New Roman"/>
      <w:sz w:val="25"/>
      <w:szCs w:val="2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6A4D"/>
    <w:rPr>
      <w:rFonts w:ascii="Tahoma" w:hAnsi="Tahoma" w:cs="Tahoma"/>
      <w:sz w:val="16"/>
      <w:szCs w:val="16"/>
    </w:rPr>
  </w:style>
  <w:style w:type="character" w:customStyle="1" w:styleId="BalloonTextChar">
    <w:name w:val="Balloon Text Char"/>
    <w:basedOn w:val="DefaultParagraphFont"/>
    <w:link w:val="BalloonText"/>
    <w:uiPriority w:val="99"/>
    <w:semiHidden/>
    <w:rsid w:val="00196A4D"/>
    <w:rPr>
      <w:rFonts w:ascii="Tahoma" w:hAnsi="Tahoma" w:cs="Tahoma"/>
      <w:sz w:val="16"/>
      <w:szCs w:val="16"/>
    </w:rPr>
  </w:style>
  <w:style w:type="character" w:styleId="CommentReference">
    <w:name w:val="annotation reference"/>
    <w:basedOn w:val="DefaultParagraphFont"/>
    <w:uiPriority w:val="99"/>
    <w:semiHidden/>
    <w:unhideWhenUsed/>
    <w:rsid w:val="007D6702"/>
    <w:rPr>
      <w:sz w:val="16"/>
      <w:szCs w:val="16"/>
    </w:rPr>
  </w:style>
  <w:style w:type="paragraph" w:styleId="CommentText">
    <w:name w:val="annotation text"/>
    <w:basedOn w:val="Normal"/>
    <w:link w:val="CommentTextChar"/>
    <w:uiPriority w:val="99"/>
    <w:semiHidden/>
    <w:unhideWhenUsed/>
    <w:rsid w:val="007D6702"/>
    <w:rPr>
      <w:sz w:val="20"/>
      <w:szCs w:val="20"/>
    </w:rPr>
  </w:style>
  <w:style w:type="character" w:customStyle="1" w:styleId="CommentTextChar">
    <w:name w:val="Comment Text Char"/>
    <w:basedOn w:val="DefaultParagraphFont"/>
    <w:link w:val="CommentText"/>
    <w:uiPriority w:val="99"/>
    <w:semiHidden/>
    <w:rsid w:val="007D6702"/>
    <w:rPr>
      <w:sz w:val="20"/>
      <w:szCs w:val="20"/>
    </w:rPr>
  </w:style>
  <w:style w:type="paragraph" w:styleId="CommentSubject">
    <w:name w:val="annotation subject"/>
    <w:basedOn w:val="CommentText"/>
    <w:next w:val="CommentText"/>
    <w:link w:val="CommentSubjectChar"/>
    <w:uiPriority w:val="99"/>
    <w:semiHidden/>
    <w:unhideWhenUsed/>
    <w:rsid w:val="007D6702"/>
    <w:rPr>
      <w:b/>
      <w:bCs/>
    </w:rPr>
  </w:style>
  <w:style w:type="character" w:customStyle="1" w:styleId="CommentSubjectChar">
    <w:name w:val="Comment Subject Char"/>
    <w:basedOn w:val="CommentTextChar"/>
    <w:link w:val="CommentSubject"/>
    <w:uiPriority w:val="99"/>
    <w:semiHidden/>
    <w:rsid w:val="007D6702"/>
    <w:rPr>
      <w:b/>
      <w:bCs/>
      <w:sz w:val="20"/>
      <w:szCs w:val="20"/>
    </w:rPr>
  </w:style>
  <w:style w:type="paragraph" w:styleId="NormalWeb">
    <w:name w:val="Normal (Web)"/>
    <w:basedOn w:val="Normal"/>
    <w:uiPriority w:val="99"/>
    <w:semiHidden/>
    <w:unhideWhenUsed/>
    <w:rsid w:val="00C04EC6"/>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549C"/>
    <w:pPr>
      <w:tabs>
        <w:tab w:val="center" w:pos="4680"/>
        <w:tab w:val="right" w:pos="9360"/>
      </w:tabs>
    </w:pPr>
  </w:style>
  <w:style w:type="character" w:customStyle="1" w:styleId="HeaderChar">
    <w:name w:val="Header Char"/>
    <w:basedOn w:val="DefaultParagraphFont"/>
    <w:link w:val="Header"/>
    <w:uiPriority w:val="99"/>
    <w:rsid w:val="0014549C"/>
  </w:style>
  <w:style w:type="paragraph" w:styleId="Footer">
    <w:name w:val="footer"/>
    <w:basedOn w:val="Normal"/>
    <w:link w:val="FooterChar"/>
    <w:uiPriority w:val="99"/>
    <w:unhideWhenUsed/>
    <w:rsid w:val="0014549C"/>
    <w:pPr>
      <w:tabs>
        <w:tab w:val="center" w:pos="4680"/>
        <w:tab w:val="right" w:pos="9360"/>
      </w:tabs>
    </w:pPr>
  </w:style>
  <w:style w:type="character" w:customStyle="1" w:styleId="FooterChar">
    <w:name w:val="Footer Char"/>
    <w:basedOn w:val="DefaultParagraphFont"/>
    <w:link w:val="Footer"/>
    <w:uiPriority w:val="99"/>
    <w:rsid w:val="0014549C"/>
  </w:style>
  <w:style w:type="character" w:customStyle="1" w:styleId="moduletitletext">
    <w:name w:val="moduletitletext"/>
    <w:basedOn w:val="DefaultParagraphFont"/>
    <w:rsid w:val="00697301"/>
  </w:style>
  <w:style w:type="character" w:styleId="Hyperlink">
    <w:name w:val="Hyperlink"/>
    <w:basedOn w:val="DefaultParagraphFont"/>
    <w:uiPriority w:val="99"/>
    <w:unhideWhenUsed/>
    <w:rsid w:val="00BF60B6"/>
    <w:rPr>
      <w:color w:val="0000FF" w:themeColor="hyperlink"/>
      <w:u w:val="single"/>
    </w:rPr>
  </w:style>
  <w:style w:type="character" w:styleId="FollowedHyperlink">
    <w:name w:val="FollowedHyperlink"/>
    <w:basedOn w:val="DefaultParagraphFont"/>
    <w:uiPriority w:val="99"/>
    <w:semiHidden/>
    <w:unhideWhenUsed/>
    <w:rsid w:val="006B02EA"/>
    <w:rPr>
      <w:color w:val="800080" w:themeColor="followedHyperlink"/>
      <w:u w:val="single"/>
    </w:rPr>
  </w:style>
  <w:style w:type="character" w:styleId="UnresolvedMention">
    <w:name w:val="Unresolved Mention"/>
    <w:basedOn w:val="DefaultParagraphFont"/>
    <w:uiPriority w:val="99"/>
    <w:semiHidden/>
    <w:unhideWhenUsed/>
    <w:rsid w:val="00944EC0"/>
    <w:rPr>
      <w:color w:val="605E5C"/>
      <w:shd w:val="clear" w:color="auto" w:fill="E1DFDD"/>
    </w:rPr>
  </w:style>
  <w:style w:type="character" w:customStyle="1" w:styleId="Heading1Char">
    <w:name w:val="Heading 1 Char"/>
    <w:basedOn w:val="DefaultParagraphFont"/>
    <w:link w:val="Heading1"/>
    <w:uiPriority w:val="1"/>
    <w:rsid w:val="003553E6"/>
    <w:rPr>
      <w:rFonts w:ascii="Times New Roman" w:eastAsia="Times New Roman" w:hAnsi="Times New Roman"/>
      <w:b/>
      <w:bCs/>
      <w:sz w:val="38"/>
      <w:szCs w:val="38"/>
    </w:rPr>
  </w:style>
  <w:style w:type="paragraph" w:styleId="Revision">
    <w:name w:val="Revision"/>
    <w:hidden/>
    <w:uiPriority w:val="99"/>
    <w:semiHidden/>
    <w:rsid w:val="00E53C9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463873">
      <w:bodyDiv w:val="1"/>
      <w:marLeft w:val="0"/>
      <w:marRight w:val="0"/>
      <w:marTop w:val="0"/>
      <w:marBottom w:val="0"/>
      <w:divBdr>
        <w:top w:val="none" w:sz="0" w:space="0" w:color="auto"/>
        <w:left w:val="none" w:sz="0" w:space="0" w:color="auto"/>
        <w:bottom w:val="none" w:sz="0" w:space="0" w:color="auto"/>
        <w:right w:val="none" w:sz="0" w:space="0" w:color="auto"/>
      </w:divBdr>
    </w:div>
    <w:div w:id="300110307">
      <w:bodyDiv w:val="1"/>
      <w:marLeft w:val="0"/>
      <w:marRight w:val="0"/>
      <w:marTop w:val="0"/>
      <w:marBottom w:val="0"/>
      <w:divBdr>
        <w:top w:val="none" w:sz="0" w:space="0" w:color="auto"/>
        <w:left w:val="none" w:sz="0" w:space="0" w:color="auto"/>
        <w:bottom w:val="none" w:sz="0" w:space="0" w:color="auto"/>
        <w:right w:val="none" w:sz="0" w:space="0" w:color="auto"/>
      </w:divBdr>
    </w:div>
    <w:div w:id="323557943">
      <w:bodyDiv w:val="1"/>
      <w:marLeft w:val="0"/>
      <w:marRight w:val="0"/>
      <w:marTop w:val="0"/>
      <w:marBottom w:val="0"/>
      <w:divBdr>
        <w:top w:val="none" w:sz="0" w:space="0" w:color="auto"/>
        <w:left w:val="none" w:sz="0" w:space="0" w:color="auto"/>
        <w:bottom w:val="none" w:sz="0" w:space="0" w:color="auto"/>
        <w:right w:val="none" w:sz="0" w:space="0" w:color="auto"/>
      </w:divBdr>
    </w:div>
    <w:div w:id="478151026">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3">
          <w:marLeft w:val="0"/>
          <w:marRight w:val="0"/>
          <w:marTop w:val="540"/>
          <w:marBottom w:val="0"/>
          <w:divBdr>
            <w:top w:val="none" w:sz="0" w:space="0" w:color="auto"/>
            <w:left w:val="none" w:sz="0" w:space="0" w:color="auto"/>
            <w:bottom w:val="none" w:sz="0" w:space="0" w:color="auto"/>
            <w:right w:val="none" w:sz="0" w:space="0" w:color="auto"/>
          </w:divBdr>
        </w:div>
      </w:divsChild>
    </w:div>
    <w:div w:id="704526645">
      <w:bodyDiv w:val="1"/>
      <w:marLeft w:val="30"/>
      <w:marRight w:val="30"/>
      <w:marTop w:val="0"/>
      <w:marBottom w:val="0"/>
      <w:divBdr>
        <w:top w:val="none" w:sz="0" w:space="0" w:color="auto"/>
        <w:left w:val="none" w:sz="0" w:space="0" w:color="auto"/>
        <w:bottom w:val="none" w:sz="0" w:space="0" w:color="auto"/>
        <w:right w:val="none" w:sz="0" w:space="0" w:color="auto"/>
      </w:divBdr>
      <w:divsChild>
        <w:div w:id="1204094444">
          <w:marLeft w:val="0"/>
          <w:marRight w:val="0"/>
          <w:marTop w:val="0"/>
          <w:marBottom w:val="0"/>
          <w:divBdr>
            <w:top w:val="none" w:sz="0" w:space="0" w:color="auto"/>
            <w:left w:val="none" w:sz="0" w:space="0" w:color="auto"/>
            <w:bottom w:val="none" w:sz="0" w:space="0" w:color="auto"/>
            <w:right w:val="none" w:sz="0" w:space="0" w:color="auto"/>
          </w:divBdr>
          <w:divsChild>
            <w:div w:id="361783748">
              <w:marLeft w:val="0"/>
              <w:marRight w:val="0"/>
              <w:marTop w:val="0"/>
              <w:marBottom w:val="0"/>
              <w:divBdr>
                <w:top w:val="none" w:sz="0" w:space="0" w:color="auto"/>
                <w:left w:val="none" w:sz="0" w:space="0" w:color="auto"/>
                <w:bottom w:val="none" w:sz="0" w:space="0" w:color="auto"/>
                <w:right w:val="none" w:sz="0" w:space="0" w:color="auto"/>
              </w:divBdr>
              <w:divsChild>
                <w:div w:id="1491674989">
                  <w:marLeft w:val="180"/>
                  <w:marRight w:val="0"/>
                  <w:marTop w:val="0"/>
                  <w:marBottom w:val="0"/>
                  <w:divBdr>
                    <w:top w:val="none" w:sz="0" w:space="0" w:color="auto"/>
                    <w:left w:val="none" w:sz="0" w:space="0" w:color="auto"/>
                    <w:bottom w:val="none" w:sz="0" w:space="0" w:color="auto"/>
                    <w:right w:val="none" w:sz="0" w:space="0" w:color="auto"/>
                  </w:divBdr>
                  <w:divsChild>
                    <w:div w:id="49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40381">
      <w:bodyDiv w:val="1"/>
      <w:marLeft w:val="30"/>
      <w:marRight w:val="30"/>
      <w:marTop w:val="0"/>
      <w:marBottom w:val="0"/>
      <w:divBdr>
        <w:top w:val="none" w:sz="0" w:space="0" w:color="auto"/>
        <w:left w:val="none" w:sz="0" w:space="0" w:color="auto"/>
        <w:bottom w:val="none" w:sz="0" w:space="0" w:color="auto"/>
        <w:right w:val="none" w:sz="0" w:space="0" w:color="auto"/>
      </w:divBdr>
      <w:divsChild>
        <w:div w:id="1339387056">
          <w:marLeft w:val="0"/>
          <w:marRight w:val="0"/>
          <w:marTop w:val="0"/>
          <w:marBottom w:val="0"/>
          <w:divBdr>
            <w:top w:val="none" w:sz="0" w:space="0" w:color="auto"/>
            <w:left w:val="none" w:sz="0" w:space="0" w:color="auto"/>
            <w:bottom w:val="none" w:sz="0" w:space="0" w:color="auto"/>
            <w:right w:val="none" w:sz="0" w:space="0" w:color="auto"/>
          </w:divBdr>
          <w:divsChild>
            <w:div w:id="482505001">
              <w:marLeft w:val="0"/>
              <w:marRight w:val="0"/>
              <w:marTop w:val="0"/>
              <w:marBottom w:val="0"/>
              <w:divBdr>
                <w:top w:val="none" w:sz="0" w:space="0" w:color="auto"/>
                <w:left w:val="none" w:sz="0" w:space="0" w:color="auto"/>
                <w:bottom w:val="none" w:sz="0" w:space="0" w:color="auto"/>
                <w:right w:val="none" w:sz="0" w:space="0" w:color="auto"/>
              </w:divBdr>
              <w:divsChild>
                <w:div w:id="1235896206">
                  <w:marLeft w:val="180"/>
                  <w:marRight w:val="0"/>
                  <w:marTop w:val="0"/>
                  <w:marBottom w:val="0"/>
                  <w:divBdr>
                    <w:top w:val="none" w:sz="0" w:space="0" w:color="auto"/>
                    <w:left w:val="none" w:sz="0" w:space="0" w:color="auto"/>
                    <w:bottom w:val="none" w:sz="0" w:space="0" w:color="auto"/>
                    <w:right w:val="none" w:sz="0" w:space="0" w:color="auto"/>
                  </w:divBdr>
                  <w:divsChild>
                    <w:div w:id="18920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752658">
      <w:bodyDiv w:val="1"/>
      <w:marLeft w:val="0"/>
      <w:marRight w:val="0"/>
      <w:marTop w:val="0"/>
      <w:marBottom w:val="0"/>
      <w:divBdr>
        <w:top w:val="none" w:sz="0" w:space="0" w:color="auto"/>
        <w:left w:val="none" w:sz="0" w:space="0" w:color="auto"/>
        <w:bottom w:val="none" w:sz="0" w:space="0" w:color="auto"/>
        <w:right w:val="none" w:sz="0" w:space="0" w:color="auto"/>
      </w:divBdr>
    </w:div>
    <w:div w:id="1694307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7E64FEBC81AE4692C9074E7BDF9B24" ma:contentTypeVersion="10" ma:contentTypeDescription="Create a new document." ma:contentTypeScope="" ma:versionID="c27553097f91c95c0025c0bbc823a4e0">
  <xsd:schema xmlns:xsd="http://www.w3.org/2001/XMLSchema" xmlns:xs="http://www.w3.org/2001/XMLSchema" xmlns:p="http://schemas.microsoft.com/office/2006/metadata/properties" xmlns:ns2="9fc87179-1a07-4eaf-9500-665341dc540e" xmlns:ns3="cfbe1120-e8cc-4444-a166-7016d1146c7a" targetNamespace="http://schemas.microsoft.com/office/2006/metadata/properties" ma:root="true" ma:fieldsID="ee5d614c85b671487aceffdafa88657a" ns2:_="" ns3:_="">
    <xsd:import namespace="9fc87179-1a07-4eaf-9500-665341dc540e"/>
    <xsd:import namespace="cfbe1120-e8cc-4444-a166-7016d1146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7179-1a07-4eaf-9500-665341dc5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be1120-e8cc-4444-a166-7016d1146c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1A577-EEB3-4713-BE03-EDB828040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7179-1a07-4eaf-9500-665341dc540e"/>
    <ds:schemaRef ds:uri="cfbe1120-e8cc-4444-a166-7016d1146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C50743-701A-46A3-AC4C-899C1C4FD9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D1C42F-92C2-4659-96D5-1952992B9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2099</Words>
  <Characters>11969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Pfizer Inc</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Maryrose</dc:creator>
  <cp:keywords/>
  <cp:lastModifiedBy>Noe, Mark C</cp:lastModifiedBy>
  <cp:revision>4</cp:revision>
  <cp:lastPrinted>2017-06-07T23:41:00Z</cp:lastPrinted>
  <dcterms:created xsi:type="dcterms:W3CDTF">2022-05-13T19:28:00Z</dcterms:created>
  <dcterms:modified xsi:type="dcterms:W3CDTF">2022-05-31T17:46:00Z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2017-05-14T00:00:00Z</vt:filetime>
  </property>
  <property fmtid="{D5CDD505-2E9C-101B-9397-08002B2CF9AE}" pid="3" name="LastSaved">
    <vt:filetime>2017-05-14T00:00:00Z</vt:filetime>
  </property>
  <property fmtid="{D5CDD505-2E9C-101B-9397-08002B2CF9AE}" pid="4" name="ChronicleID">
    <vt:lpwstr/>
  </property>
  <property fmtid="{D5CDD505-2E9C-101B-9397-08002B2CF9AE}" pid="5" name="RepoID">
    <vt:lpwstr/>
  </property>
  <property fmtid="{D5CDD505-2E9C-101B-9397-08002B2CF9AE}" pid="6" name="ContentTypeId">
    <vt:lpwstr>0x010100987E64FEBC81AE4692C9074E7BDF9B24</vt:lpwstr>
  </property>
</Properties>
</file>