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17973" w14:textId="1F6B91CD" w:rsidR="000B47CB" w:rsidRDefault="00185ECE">
      <w:r>
        <w:t xml:space="preserve">US </w:t>
      </w:r>
      <w:r w:rsidR="000B47CB">
        <w:t>Prix Galien</w:t>
      </w:r>
      <w:r w:rsidR="00F45F67">
        <w:t xml:space="preserve"> </w:t>
      </w:r>
      <w:r w:rsidR="00CB19A5">
        <w:t>submission - APRETUDE</w:t>
      </w:r>
    </w:p>
    <w:p w14:paraId="0B200B25" w14:textId="2E9DA84B" w:rsidR="00680479" w:rsidRDefault="00680479" w:rsidP="00E30D5A">
      <w:pPr>
        <w:rPr>
          <w:rFonts w:eastAsia="Times New Roman"/>
          <w:b/>
          <w:bCs/>
        </w:rPr>
      </w:pPr>
    </w:p>
    <w:p w14:paraId="5A63F51D" w14:textId="270161FE" w:rsidR="00754FED" w:rsidRPr="00754FED" w:rsidRDefault="00754FED" w:rsidP="00754FED">
      <w:pPr>
        <w:rPr>
          <w:rFonts w:eastAsia="Times New Roman"/>
          <w:b/>
          <w:bCs/>
        </w:rPr>
      </w:pPr>
      <w:r w:rsidRPr="00754FED">
        <w:rPr>
          <w:rFonts w:eastAsia="Times New Roman"/>
          <w:b/>
          <w:bCs/>
        </w:rPr>
        <w:t>Category</w:t>
      </w:r>
      <w:r>
        <w:rPr>
          <w:rFonts w:eastAsia="Times New Roman"/>
          <w:b/>
          <w:bCs/>
        </w:rPr>
        <w:t xml:space="preserve">: </w:t>
      </w:r>
      <w:r w:rsidR="00D17A69" w:rsidRPr="00D17A69">
        <w:rPr>
          <w:rFonts w:eastAsia="Times New Roman"/>
        </w:rPr>
        <w:t>Best Pharmaceutical Product</w:t>
      </w:r>
    </w:p>
    <w:p w14:paraId="10DD109D" w14:textId="73F64600" w:rsidR="00754FED" w:rsidRPr="00754FED" w:rsidRDefault="00754FED" w:rsidP="00754FED">
      <w:pPr>
        <w:rPr>
          <w:rFonts w:eastAsia="Times New Roman"/>
          <w:b/>
          <w:bCs/>
        </w:rPr>
      </w:pPr>
      <w:r w:rsidRPr="00754FED">
        <w:rPr>
          <w:rFonts w:eastAsia="Times New Roman"/>
          <w:b/>
          <w:bCs/>
        </w:rPr>
        <w:t>Drug Or Device Name</w:t>
      </w:r>
      <w:r>
        <w:rPr>
          <w:rFonts w:eastAsia="Times New Roman"/>
          <w:b/>
          <w:bCs/>
        </w:rPr>
        <w:t xml:space="preserve">: </w:t>
      </w:r>
      <w:r w:rsidR="009F467B" w:rsidRPr="00754FED">
        <w:rPr>
          <w:rFonts w:eastAsia="Times New Roman"/>
        </w:rPr>
        <w:t>APRETUDE</w:t>
      </w:r>
    </w:p>
    <w:p w14:paraId="1399AC30" w14:textId="680B2D58" w:rsidR="00754FED" w:rsidRPr="00082CB8" w:rsidRDefault="00754FED" w:rsidP="00754FED">
      <w:pPr>
        <w:rPr>
          <w:rFonts w:eastAsia="Times New Roman"/>
        </w:rPr>
      </w:pPr>
      <w:r w:rsidRPr="00754FED">
        <w:rPr>
          <w:rFonts w:eastAsia="Times New Roman"/>
          <w:b/>
          <w:bCs/>
        </w:rPr>
        <w:t>Compound Technical Name</w:t>
      </w:r>
      <w:r>
        <w:rPr>
          <w:rFonts w:eastAsia="Times New Roman"/>
          <w:b/>
          <w:bCs/>
        </w:rPr>
        <w:t>:</w:t>
      </w:r>
      <w:r w:rsidR="00082CB8">
        <w:rPr>
          <w:rFonts w:eastAsia="Times New Roman"/>
          <w:b/>
          <w:bCs/>
        </w:rPr>
        <w:t xml:space="preserve"> </w:t>
      </w:r>
      <w:r w:rsidR="00082CB8" w:rsidRPr="00082CB8">
        <w:rPr>
          <w:rFonts w:eastAsia="Times New Roman"/>
        </w:rPr>
        <w:t>Cabotegravir extended-release injectable suspension</w:t>
      </w:r>
    </w:p>
    <w:p w14:paraId="55B02E94" w14:textId="77572E95" w:rsidR="00754FED" w:rsidRPr="00754FED" w:rsidRDefault="00754FED" w:rsidP="00754FED">
      <w:pPr>
        <w:rPr>
          <w:rFonts w:eastAsia="Times New Roman"/>
          <w:b/>
          <w:bCs/>
        </w:rPr>
      </w:pPr>
      <w:r w:rsidRPr="00754FED">
        <w:rPr>
          <w:rFonts w:eastAsia="Times New Roman"/>
          <w:b/>
          <w:bCs/>
        </w:rPr>
        <w:t>Trade Name</w:t>
      </w:r>
      <w:r>
        <w:rPr>
          <w:rFonts w:eastAsia="Times New Roman"/>
          <w:b/>
          <w:bCs/>
        </w:rPr>
        <w:t xml:space="preserve">: </w:t>
      </w:r>
      <w:r w:rsidRPr="00754FED">
        <w:rPr>
          <w:rFonts w:eastAsia="Times New Roman"/>
        </w:rPr>
        <w:t>Apretude</w:t>
      </w:r>
    </w:p>
    <w:p w14:paraId="57063FE6" w14:textId="1E136B0C" w:rsidR="00754FED" w:rsidRPr="00754FED" w:rsidRDefault="00754FED" w:rsidP="00754FED">
      <w:pPr>
        <w:rPr>
          <w:rFonts w:eastAsia="Times New Roman"/>
        </w:rPr>
      </w:pPr>
      <w:r w:rsidRPr="00754FED">
        <w:rPr>
          <w:rFonts w:eastAsia="Times New Roman"/>
          <w:b/>
          <w:bCs/>
        </w:rPr>
        <w:t>Date Of Approval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</w:rPr>
        <w:t>12/21/21</w:t>
      </w:r>
    </w:p>
    <w:p w14:paraId="757D18AD" w14:textId="33BB7D0C" w:rsidR="00754FED" w:rsidRPr="00754FED" w:rsidRDefault="00754FED" w:rsidP="00754FED">
      <w:pPr>
        <w:rPr>
          <w:rFonts w:eastAsia="Times New Roman"/>
          <w:b/>
          <w:bCs/>
        </w:rPr>
      </w:pPr>
      <w:r w:rsidRPr="00754FED">
        <w:rPr>
          <w:rFonts w:eastAsia="Times New Roman"/>
          <w:b/>
          <w:bCs/>
        </w:rPr>
        <w:t>Therapeutic Categories</w:t>
      </w:r>
      <w:r>
        <w:rPr>
          <w:rFonts w:eastAsia="Times New Roman"/>
          <w:b/>
          <w:bCs/>
        </w:rPr>
        <w:t xml:space="preserve">: </w:t>
      </w:r>
      <w:r w:rsidR="00CA1C36" w:rsidRPr="00CA1C36">
        <w:rPr>
          <w:rFonts w:eastAsia="Times New Roman"/>
        </w:rPr>
        <w:t>Antivirals - Integrase strand transfer inhibitor (INSTI)</w:t>
      </w:r>
    </w:p>
    <w:p w14:paraId="3F6AEB67" w14:textId="43F3335F" w:rsidR="00754FED" w:rsidRDefault="00754FED" w:rsidP="00754FED">
      <w:pPr>
        <w:rPr>
          <w:rFonts w:eastAsia="Times New Roman"/>
          <w:b/>
          <w:bCs/>
        </w:rPr>
      </w:pPr>
      <w:r w:rsidRPr="00754FED">
        <w:rPr>
          <w:rFonts w:eastAsia="Times New Roman"/>
          <w:b/>
          <w:bCs/>
        </w:rPr>
        <w:t>Indications</w:t>
      </w:r>
      <w:r>
        <w:rPr>
          <w:rFonts w:eastAsia="Times New Roman"/>
          <w:b/>
          <w:bCs/>
        </w:rPr>
        <w:t xml:space="preserve">: </w:t>
      </w:r>
    </w:p>
    <w:p w14:paraId="521E4F49" w14:textId="21DB82F9" w:rsidR="00754FED" w:rsidRPr="00A34A16" w:rsidRDefault="009A5C9C" w:rsidP="00E30D5A">
      <w:pPr>
        <w:rPr>
          <w:rFonts w:eastAsia="Times New Roman"/>
        </w:rPr>
      </w:pPr>
      <w:r>
        <w:rPr>
          <w:rFonts w:eastAsia="Times New Roman"/>
        </w:rPr>
        <w:t>APRETUDE</w:t>
      </w:r>
      <w:r>
        <w:rPr>
          <w:rFonts w:eastAsia="Times New Roman"/>
        </w:rPr>
        <w:t xml:space="preserve"> </w:t>
      </w:r>
      <w:r w:rsidR="005F35DF" w:rsidRPr="005F35DF">
        <w:rPr>
          <w:rFonts w:eastAsia="Times New Roman"/>
        </w:rPr>
        <w:t xml:space="preserve">is indicated in at-risk adults and adolescents weighing at least 35 kg for pre-exposure prophylaxis (PrEP) to reduce the risk of sexually acquired HIV-1 infection. Individuals must have a negative HIV-1 test prior to initiating </w:t>
      </w:r>
      <w:r>
        <w:rPr>
          <w:rFonts w:eastAsia="Times New Roman"/>
        </w:rPr>
        <w:t>APRETUDE</w:t>
      </w:r>
      <w:r w:rsidRPr="005F35DF">
        <w:rPr>
          <w:rFonts w:eastAsia="Times New Roman"/>
        </w:rPr>
        <w:t xml:space="preserve"> </w:t>
      </w:r>
      <w:r w:rsidR="005F35DF" w:rsidRPr="005F35DF">
        <w:rPr>
          <w:rFonts w:eastAsia="Times New Roman"/>
        </w:rPr>
        <w:t>(with or without an oral lead-in with oral cabotegravir) for HIV-1 PrEP.</w:t>
      </w:r>
      <w:r w:rsidR="005F35DF">
        <w:rPr>
          <w:rFonts w:eastAsia="Times New Roman"/>
        </w:rPr>
        <w:t xml:space="preserve"> </w:t>
      </w:r>
    </w:p>
    <w:p w14:paraId="332E35A6" w14:textId="49475B94" w:rsidR="008B0206" w:rsidRDefault="00A34A16" w:rsidP="002F640C">
      <w:pPr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br/>
      </w:r>
      <w:r w:rsidR="008B0206" w:rsidRPr="008B0206">
        <w:rPr>
          <w:rFonts w:eastAsia="Times New Roman"/>
          <w:b/>
          <w:bCs/>
        </w:rPr>
        <w:t>Background information and need for drug/device</w:t>
      </w:r>
      <w:r w:rsidR="008B0206">
        <w:rPr>
          <w:rFonts w:eastAsia="Times New Roman"/>
          <w:b/>
          <w:bCs/>
        </w:rPr>
        <w:t xml:space="preserve"> (300 words max</w:t>
      </w:r>
      <w:r w:rsidR="00A30FDC">
        <w:rPr>
          <w:rFonts w:eastAsia="Times New Roman"/>
          <w:b/>
          <w:bCs/>
        </w:rPr>
        <w:t xml:space="preserve"> – at </w:t>
      </w:r>
      <w:r w:rsidR="009A5C9C">
        <w:rPr>
          <w:rFonts w:eastAsia="Times New Roman"/>
          <w:b/>
          <w:bCs/>
        </w:rPr>
        <w:t>300</w:t>
      </w:r>
      <w:r w:rsidR="008B0206">
        <w:rPr>
          <w:rFonts w:eastAsia="Times New Roman"/>
          <w:b/>
          <w:bCs/>
        </w:rPr>
        <w:t>)</w:t>
      </w:r>
    </w:p>
    <w:p w14:paraId="75F3822E" w14:textId="410895FC" w:rsidR="00F52D62" w:rsidRDefault="00F9424E" w:rsidP="002F640C">
      <w:pPr>
        <w:contextualSpacing/>
        <w:rPr>
          <w:rFonts w:cstheme="minorHAnsi"/>
          <w:bCs/>
        </w:rPr>
      </w:pPr>
      <w:r w:rsidRPr="00F9424E">
        <w:rPr>
          <w:rFonts w:cstheme="minorHAnsi"/>
          <w:bCs/>
        </w:rPr>
        <w:t>HIV continues to be a global health crisis</w:t>
      </w:r>
      <w:r w:rsidR="00754CF0">
        <w:rPr>
          <w:rFonts w:cstheme="minorHAnsi"/>
          <w:bCs/>
        </w:rPr>
        <w:t xml:space="preserve"> with more than 37 million people currently living with HIV</w:t>
      </w:r>
      <w:r w:rsidRPr="00F9424E">
        <w:rPr>
          <w:rFonts w:cstheme="minorHAnsi"/>
          <w:bCs/>
        </w:rPr>
        <w:t xml:space="preserve">. In the U.S. alone, an estimated 1.2 million people are living with HIV, and almost 37,000 new HIV diagnoses are made each year. As we look toward the future, PrEP </w:t>
      </w:r>
      <w:r w:rsidR="005F35DF">
        <w:rPr>
          <w:rFonts w:cstheme="minorHAnsi"/>
          <w:bCs/>
        </w:rPr>
        <w:t>(</w:t>
      </w:r>
      <w:r w:rsidRPr="00F9424E">
        <w:rPr>
          <w:rFonts w:cstheme="minorHAnsi"/>
          <w:bCs/>
        </w:rPr>
        <w:t>or pre-exposure prophylaxis</w:t>
      </w:r>
      <w:r w:rsidR="005F35DF">
        <w:rPr>
          <w:rFonts w:cstheme="minorHAnsi"/>
          <w:bCs/>
        </w:rPr>
        <w:t>)</w:t>
      </w:r>
      <w:r w:rsidRPr="00F9424E">
        <w:rPr>
          <w:rFonts w:cstheme="minorHAnsi"/>
          <w:bCs/>
        </w:rPr>
        <w:t xml:space="preserve"> has a central role to play in helping to reduce new HIV cases and the impact HIV has on millions of lives each year. </w:t>
      </w:r>
    </w:p>
    <w:p w14:paraId="471F00BC" w14:textId="77777777" w:rsidR="00F52D62" w:rsidRDefault="00F52D62" w:rsidP="002F640C">
      <w:pPr>
        <w:contextualSpacing/>
        <w:rPr>
          <w:rFonts w:cstheme="minorHAnsi"/>
          <w:bCs/>
        </w:rPr>
      </w:pPr>
    </w:p>
    <w:p w14:paraId="4EB86D3A" w14:textId="320971C7" w:rsidR="000D034D" w:rsidRPr="00DD03B1" w:rsidRDefault="00F9424E" w:rsidP="002F64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03B1">
        <w:rPr>
          <w:rFonts w:cstheme="minorHAnsi"/>
          <w:bCs/>
        </w:rPr>
        <w:t>PrEP is proven to prevent HIV acquisition and is an essential tool to help end the HIV epidemic. Yet, the unfortunate reality is that</w:t>
      </w:r>
      <w:r w:rsidR="00DD03B1" w:rsidRPr="00DD03B1">
        <w:rPr>
          <w:rFonts w:cstheme="minorHAnsi"/>
          <w:bCs/>
        </w:rPr>
        <w:t>, as of 2019,</w:t>
      </w:r>
      <w:r w:rsidRPr="00DD03B1">
        <w:rPr>
          <w:rFonts w:cstheme="minorHAnsi"/>
          <w:bCs/>
        </w:rPr>
        <w:t xml:space="preserve"> </w:t>
      </w:r>
      <w:r w:rsidR="00DD03B1" w:rsidRPr="00DD03B1">
        <w:rPr>
          <w:rFonts w:eastAsia="Times New Roman" w:cs="Arial"/>
        </w:rPr>
        <w:t xml:space="preserve">the U.S. Department of Health &amp; Human Services estimated that less </w:t>
      </w:r>
      <w:r w:rsidR="00DD03B1" w:rsidRPr="00DD03B1">
        <w:rPr>
          <w:rFonts w:cstheme="minorHAnsi"/>
          <w:bCs/>
        </w:rPr>
        <w:t xml:space="preserve">than </w:t>
      </w:r>
      <w:r w:rsidRPr="00DD03B1">
        <w:rPr>
          <w:rFonts w:cstheme="minorHAnsi"/>
          <w:bCs/>
        </w:rPr>
        <w:t xml:space="preserve">25% of people in the US who could benefit from PrEP </w:t>
      </w:r>
      <w:r w:rsidR="00DD03B1" w:rsidRPr="00DD03B1">
        <w:rPr>
          <w:rFonts w:cstheme="minorHAnsi"/>
          <w:bCs/>
        </w:rPr>
        <w:t>were</w:t>
      </w:r>
      <w:r w:rsidRPr="00DD03B1">
        <w:rPr>
          <w:rFonts w:cstheme="minorHAnsi"/>
          <w:bCs/>
        </w:rPr>
        <w:t xml:space="preserve"> currently taking </w:t>
      </w:r>
      <w:r w:rsidR="00F52D62" w:rsidRPr="00DD03B1">
        <w:rPr>
          <w:rFonts w:cstheme="minorHAnsi"/>
          <w:bCs/>
        </w:rPr>
        <w:t>it</w:t>
      </w:r>
      <w:r w:rsidR="00DD03B1" w:rsidRPr="00DD03B1">
        <w:rPr>
          <w:rFonts w:cstheme="minorHAnsi"/>
          <w:bCs/>
        </w:rPr>
        <w:t>.</w:t>
      </w:r>
      <w:r w:rsidR="00DD03B1" w:rsidRPr="00DD03B1">
        <w:rPr>
          <w:rFonts w:cs="Times New Roman"/>
        </w:rPr>
        <w:t xml:space="preserve"> </w:t>
      </w:r>
      <w:r w:rsidR="009951E6" w:rsidRPr="00DD03B1">
        <w:rPr>
          <w:rFonts w:cstheme="minorHAnsi"/>
        </w:rPr>
        <w:t xml:space="preserve">Furthermore, despite </w:t>
      </w:r>
      <w:r w:rsidR="00F52D62" w:rsidRPr="00DD03B1">
        <w:rPr>
          <w:rFonts w:cstheme="minorHAnsi"/>
        </w:rPr>
        <w:t xml:space="preserve">the </w:t>
      </w:r>
      <w:r w:rsidR="009951E6" w:rsidRPr="00DD03B1">
        <w:rPr>
          <w:rFonts w:cstheme="minorHAnsi"/>
        </w:rPr>
        <w:t>widespread availability of daily oral PrEP, the only significant decline in new HIV diagnoses has occurred in white men who have sex with men.</w:t>
      </w:r>
      <w:r w:rsidR="00787651" w:rsidRPr="00DD03B1">
        <w:rPr>
          <w:rFonts w:cstheme="minorHAnsi"/>
        </w:rPr>
        <w:t xml:space="preserve"> </w:t>
      </w:r>
      <w:r w:rsidR="00B667DC" w:rsidRPr="00DD03B1">
        <w:rPr>
          <w:rFonts w:cstheme="minorHAnsi"/>
        </w:rPr>
        <w:t>Broad uptake of PrEP</w:t>
      </w:r>
      <w:r w:rsidR="000D034D" w:rsidRPr="00DD03B1">
        <w:rPr>
          <w:rFonts w:cstheme="minorHAnsi"/>
        </w:rPr>
        <w:t>—</w:t>
      </w:r>
      <w:r w:rsidR="002F640C">
        <w:t xml:space="preserve">especially among </w:t>
      </w:r>
      <w:r w:rsidR="002F640C">
        <w:t>Black and Latinx communities who are disproportionately impacted in the US and have benefited the least from the advances in HIV prevention</w:t>
      </w:r>
      <w:r w:rsidR="000D034D" w:rsidRPr="00DD03B1">
        <w:rPr>
          <w:rFonts w:cstheme="minorHAnsi"/>
        </w:rPr>
        <w:t xml:space="preserve">—has been limited by a range of factors including stigma, </w:t>
      </w:r>
      <w:r w:rsidR="00F74689" w:rsidRPr="00DD03B1">
        <w:rPr>
          <w:rFonts w:cstheme="minorHAnsi"/>
        </w:rPr>
        <w:t>confusion ab</w:t>
      </w:r>
      <w:r w:rsidR="003704AA" w:rsidRPr="00DD03B1">
        <w:rPr>
          <w:rFonts w:cstheme="minorHAnsi"/>
        </w:rPr>
        <w:t>out</w:t>
      </w:r>
      <w:r w:rsidR="003704AA">
        <w:rPr>
          <w:rFonts w:cstheme="minorHAnsi"/>
        </w:rPr>
        <w:t xml:space="preserve"> the</w:t>
      </w:r>
      <w:r w:rsidR="00F74689">
        <w:rPr>
          <w:rFonts w:cstheme="minorHAnsi"/>
        </w:rPr>
        <w:t xml:space="preserve"> </w:t>
      </w:r>
      <w:r w:rsidR="003704AA">
        <w:rPr>
          <w:rFonts w:cstheme="minorHAnsi"/>
        </w:rPr>
        <w:t>populations</w:t>
      </w:r>
      <w:r w:rsidR="00F74689">
        <w:rPr>
          <w:rFonts w:cstheme="minorHAnsi"/>
        </w:rPr>
        <w:t xml:space="preserve"> </w:t>
      </w:r>
      <w:r w:rsidR="003704AA">
        <w:rPr>
          <w:rFonts w:cstheme="minorHAnsi"/>
        </w:rPr>
        <w:t xml:space="preserve">for which </w:t>
      </w:r>
      <w:r w:rsidR="00F74689">
        <w:rPr>
          <w:rFonts w:cstheme="minorHAnsi"/>
        </w:rPr>
        <w:t xml:space="preserve">PrEP is </w:t>
      </w:r>
      <w:r w:rsidR="003704AA">
        <w:rPr>
          <w:rFonts w:cstheme="minorHAnsi"/>
        </w:rPr>
        <w:t xml:space="preserve">indicated, </w:t>
      </w:r>
      <w:r w:rsidR="003357B7">
        <w:rPr>
          <w:rFonts w:cstheme="minorHAnsi"/>
        </w:rPr>
        <w:t xml:space="preserve">and challenges with adhering to a daily dosing regimen. </w:t>
      </w:r>
    </w:p>
    <w:p w14:paraId="0C55E866" w14:textId="14854A24" w:rsidR="00C8151B" w:rsidRDefault="00F9424E" w:rsidP="002F640C">
      <w:pPr>
        <w:contextualSpacing/>
        <w:rPr>
          <w:rFonts w:cstheme="minorHAnsi"/>
          <w:bCs/>
        </w:rPr>
      </w:pPr>
      <w:r w:rsidRPr="00F9424E">
        <w:rPr>
          <w:rFonts w:cstheme="minorHAnsi"/>
          <w:bCs/>
        </w:rPr>
        <w:t xml:space="preserve">   </w:t>
      </w:r>
    </w:p>
    <w:p w14:paraId="195FA05A" w14:textId="47FBC342" w:rsidR="00A62DB0" w:rsidRPr="006E4418" w:rsidRDefault="009A5C9C" w:rsidP="002F640C">
      <w:pPr>
        <w:contextualSpacing/>
        <w:rPr>
          <w:rFonts w:cstheme="minorHAnsi"/>
        </w:rPr>
      </w:pPr>
      <w:r>
        <w:rPr>
          <w:rFonts w:eastAsia="Times New Roman"/>
        </w:rPr>
        <w:t>APRETUDE</w:t>
      </w:r>
      <w:r w:rsidR="009F467B" w:rsidRPr="006E4418">
        <w:rPr>
          <w:rFonts w:cstheme="minorHAnsi"/>
        </w:rPr>
        <w:t xml:space="preserve"> </w:t>
      </w:r>
      <w:r w:rsidR="00A62DB0" w:rsidRPr="006E4418">
        <w:rPr>
          <w:rFonts w:cstheme="minorHAnsi"/>
        </w:rPr>
        <w:t>(cabotegravir extended-release injectable suspension) is the first and only long-acting injectable option for HIV prevention</w:t>
      </w:r>
      <w:r w:rsidR="00356076">
        <w:rPr>
          <w:rFonts w:cstheme="minorHAnsi"/>
        </w:rPr>
        <w:t>. It</w:t>
      </w:r>
      <w:r w:rsidR="004B349E">
        <w:rPr>
          <w:rFonts w:cstheme="minorHAnsi"/>
        </w:rPr>
        <w:t xml:space="preserve"> has </w:t>
      </w:r>
      <w:r w:rsidR="00A62DB0" w:rsidRPr="006E4418">
        <w:rPr>
          <w:rFonts w:cstheme="minorHAnsi"/>
        </w:rPr>
        <w:t xml:space="preserve">demonstrated </w:t>
      </w:r>
      <w:r w:rsidR="005F35DF" w:rsidRPr="005F35DF">
        <w:rPr>
          <w:rFonts w:cstheme="minorHAnsi"/>
        </w:rPr>
        <w:t>superior efficacy for the prevention of HIV-1 infection compared to daily oral TDF/FTC</w:t>
      </w:r>
      <w:r w:rsidR="005F35DF">
        <w:rPr>
          <w:rFonts w:cstheme="minorHAnsi"/>
        </w:rPr>
        <w:t xml:space="preserve"> tablets</w:t>
      </w:r>
      <w:r w:rsidR="00A62DB0" w:rsidRPr="006E4418">
        <w:rPr>
          <w:rFonts w:cstheme="minorHAnsi"/>
        </w:rPr>
        <w:t>.</w:t>
      </w:r>
      <w:r w:rsidR="006E4418">
        <w:rPr>
          <w:rFonts w:cstheme="minorHAnsi"/>
        </w:rPr>
        <w:t xml:space="preserve"> </w:t>
      </w:r>
      <w:r>
        <w:rPr>
          <w:rFonts w:eastAsia="Times New Roman"/>
        </w:rPr>
        <w:t>APRETUDE</w:t>
      </w:r>
      <w:r w:rsidR="009F467B" w:rsidRPr="006E4418">
        <w:rPr>
          <w:rFonts w:cstheme="minorHAnsi"/>
        </w:rPr>
        <w:t xml:space="preserve"> </w:t>
      </w:r>
      <w:r w:rsidR="00B12D3D">
        <w:rPr>
          <w:rFonts w:cstheme="minorHAnsi"/>
        </w:rPr>
        <w:t xml:space="preserve">also </w:t>
      </w:r>
      <w:r w:rsidR="00A62DB0" w:rsidRPr="006E4418">
        <w:rPr>
          <w:rFonts w:cstheme="minorHAnsi"/>
        </w:rPr>
        <w:t xml:space="preserve">significantly reduces </w:t>
      </w:r>
      <w:r w:rsidR="005F35DF">
        <w:rPr>
          <w:rFonts w:cstheme="minorHAnsi"/>
        </w:rPr>
        <w:t xml:space="preserve">the </w:t>
      </w:r>
      <w:r w:rsidR="00A62DB0" w:rsidRPr="006E4418">
        <w:rPr>
          <w:rFonts w:cstheme="minorHAnsi"/>
        </w:rPr>
        <w:t xml:space="preserve">frequency of </w:t>
      </w:r>
      <w:r w:rsidR="005F35DF">
        <w:rPr>
          <w:rFonts w:cstheme="minorHAnsi"/>
        </w:rPr>
        <w:t xml:space="preserve">PrEP </w:t>
      </w:r>
      <w:r w:rsidR="00A62DB0" w:rsidRPr="006E4418">
        <w:rPr>
          <w:rFonts w:cstheme="minorHAnsi"/>
        </w:rPr>
        <w:t xml:space="preserve">dosing </w:t>
      </w:r>
      <w:r w:rsidR="00E449D3">
        <w:rPr>
          <w:rFonts w:cstheme="minorHAnsi"/>
        </w:rPr>
        <w:t xml:space="preserve">– </w:t>
      </w:r>
      <w:r w:rsidR="00A62DB0" w:rsidRPr="006E4418">
        <w:rPr>
          <w:rFonts w:cstheme="minorHAnsi"/>
        </w:rPr>
        <w:t xml:space="preserve">from 365 </w:t>
      </w:r>
      <w:r w:rsidR="00B12D3D">
        <w:rPr>
          <w:rFonts w:cstheme="minorHAnsi"/>
        </w:rPr>
        <w:t xml:space="preserve">days </w:t>
      </w:r>
      <w:r w:rsidR="00A62DB0" w:rsidRPr="006E4418">
        <w:rPr>
          <w:rFonts w:cstheme="minorHAnsi"/>
        </w:rPr>
        <w:t xml:space="preserve">to as few as six </w:t>
      </w:r>
      <w:r w:rsidR="00286C89">
        <w:rPr>
          <w:rFonts w:cstheme="minorHAnsi"/>
        </w:rPr>
        <w:t xml:space="preserve">injections </w:t>
      </w:r>
      <w:r w:rsidR="00A62DB0" w:rsidRPr="006E4418">
        <w:rPr>
          <w:rFonts w:cstheme="minorHAnsi"/>
        </w:rPr>
        <w:t>per year after the initiation period.</w:t>
      </w:r>
    </w:p>
    <w:p w14:paraId="20B2B82C" w14:textId="77777777" w:rsidR="006E4418" w:rsidRDefault="006E4418" w:rsidP="006E4418">
      <w:pPr>
        <w:contextualSpacing/>
        <w:rPr>
          <w:rFonts w:cstheme="minorHAnsi"/>
        </w:rPr>
      </w:pPr>
    </w:p>
    <w:p w14:paraId="58F24741" w14:textId="0C75015A" w:rsidR="0044115F" w:rsidRPr="00F52D62" w:rsidRDefault="00F07013" w:rsidP="00A34A16">
      <w:pPr>
        <w:contextualSpacing/>
      </w:pPr>
      <w:r>
        <w:rPr>
          <w:rFonts w:ascii="Calibri" w:eastAsia="Calibri" w:hAnsi="Calibri" w:cs="Calibri"/>
        </w:rPr>
        <w:t xml:space="preserve">FDA approval of </w:t>
      </w:r>
      <w:r w:rsidR="009A5C9C">
        <w:rPr>
          <w:rFonts w:eastAsia="Times New Roman"/>
        </w:rPr>
        <w:t>APRETUDE</w:t>
      </w:r>
      <w:r w:rsidR="009F467B" w:rsidRPr="00A34A16">
        <w:rPr>
          <w:rFonts w:ascii="Calibri" w:eastAsia="Calibri" w:hAnsi="Calibri" w:cs="Calibri"/>
        </w:rPr>
        <w:t xml:space="preserve"> </w:t>
      </w:r>
      <w:r w:rsidR="0044115F" w:rsidRPr="00A34A16">
        <w:rPr>
          <w:rFonts w:ascii="Calibri" w:eastAsia="Calibri" w:hAnsi="Calibri" w:cs="Calibri"/>
        </w:rPr>
        <w:t xml:space="preserve">offers a new approach to the prevention of HIV. </w:t>
      </w:r>
      <w:r w:rsidR="009A5C9C">
        <w:rPr>
          <w:rFonts w:ascii="Calibri" w:eastAsia="Calibri" w:hAnsi="Calibri" w:cs="Calibri"/>
        </w:rPr>
        <w:t xml:space="preserve">For the first time, </w:t>
      </w:r>
      <w:r w:rsidR="009A5C9C">
        <w:t>p</w:t>
      </w:r>
      <w:r w:rsidR="0044115F">
        <w:t>eople who are vulnerable to acquiring HIV</w:t>
      </w:r>
      <w:r w:rsidR="002F640C">
        <w:t xml:space="preserve"> </w:t>
      </w:r>
      <w:r w:rsidR="00C910D9">
        <w:t xml:space="preserve">now have </w:t>
      </w:r>
      <w:r w:rsidR="006A5AEB">
        <w:t>options</w:t>
      </w:r>
      <w:r w:rsidR="00185ECE">
        <w:t xml:space="preserve"> beyond a daily pill</w:t>
      </w:r>
      <w:r w:rsidR="006A5AEB">
        <w:t xml:space="preserve">. </w:t>
      </w:r>
    </w:p>
    <w:p w14:paraId="5418DD65" w14:textId="4C95B90C" w:rsidR="0044115F" w:rsidRDefault="0044115F" w:rsidP="00E30D5A">
      <w:pPr>
        <w:rPr>
          <w:rFonts w:eastAsia="Times New Roman"/>
          <w:b/>
          <w:bCs/>
        </w:rPr>
      </w:pPr>
    </w:p>
    <w:p w14:paraId="6DC154FD" w14:textId="02225870" w:rsidR="000B47CB" w:rsidRDefault="000B47CB" w:rsidP="00E30D5A">
      <w:pPr>
        <w:rPr>
          <w:rFonts w:eastAsia="Times New Roman"/>
          <w:b/>
          <w:bCs/>
        </w:rPr>
      </w:pPr>
      <w:r w:rsidRPr="00E30D5A">
        <w:rPr>
          <w:rFonts w:eastAsia="Times New Roman"/>
          <w:b/>
          <w:bCs/>
        </w:rPr>
        <w:lastRenderedPageBreak/>
        <w:t>History of the development of the drug/device (300 words max</w:t>
      </w:r>
      <w:r w:rsidR="00A30FDC">
        <w:rPr>
          <w:rFonts w:eastAsia="Times New Roman"/>
          <w:b/>
          <w:bCs/>
        </w:rPr>
        <w:t xml:space="preserve"> – at 300</w:t>
      </w:r>
      <w:r w:rsidRPr="00E30D5A">
        <w:rPr>
          <w:rFonts w:eastAsia="Times New Roman"/>
          <w:b/>
          <w:bCs/>
        </w:rPr>
        <w:t>)</w:t>
      </w:r>
    </w:p>
    <w:p w14:paraId="72F46007" w14:textId="5136C5C6" w:rsidR="000B47CB" w:rsidRDefault="009F467B" w:rsidP="000B47CB">
      <w:pPr>
        <w:rPr>
          <w:rFonts w:eastAsia="Times New Roman"/>
        </w:rPr>
      </w:pPr>
      <w:r>
        <w:rPr>
          <w:rFonts w:eastAsia="Times New Roman"/>
        </w:rPr>
        <w:t xml:space="preserve">APRETUDE </w:t>
      </w:r>
      <w:r w:rsidR="006679EA">
        <w:rPr>
          <w:rFonts w:eastAsia="Times New Roman"/>
        </w:rPr>
        <w:t>(c</w:t>
      </w:r>
      <w:r w:rsidR="006679EA" w:rsidRPr="00082CB8">
        <w:rPr>
          <w:rFonts w:eastAsia="Times New Roman"/>
        </w:rPr>
        <w:t>abotegravir extended-release injectable suspension</w:t>
      </w:r>
      <w:r w:rsidR="006679EA">
        <w:rPr>
          <w:rFonts w:eastAsia="Times New Roman"/>
        </w:rPr>
        <w:t>)</w:t>
      </w:r>
      <w:r w:rsidR="00593A43">
        <w:rPr>
          <w:rFonts w:eastAsia="Times New Roman"/>
        </w:rPr>
        <w:t xml:space="preserve"> is a</w:t>
      </w:r>
      <w:r w:rsidR="006E2C53">
        <w:rPr>
          <w:rFonts w:eastAsia="Times New Roman"/>
        </w:rPr>
        <w:t>n</w:t>
      </w:r>
      <w:r w:rsidR="00593A43">
        <w:rPr>
          <w:rFonts w:eastAsia="Times New Roman"/>
        </w:rPr>
        <w:t xml:space="preserve"> integrase strand transfer inhibitor (INSTI) that prevent</w:t>
      </w:r>
      <w:r w:rsidR="006E2C53">
        <w:rPr>
          <w:rFonts w:eastAsia="Times New Roman"/>
        </w:rPr>
        <w:t>s</w:t>
      </w:r>
      <w:r w:rsidR="00593A43">
        <w:rPr>
          <w:rFonts w:eastAsia="Times New Roman"/>
        </w:rPr>
        <w:t xml:space="preserve"> the integration of viral RNA into host DNA and is a structural analogue of dolutegravir, which is used extensively as a component of antiviral treatment regimens for people living with HIV. Unlike other INSTIs, cabotegravir </w:t>
      </w:r>
      <w:r w:rsidR="00FF2BD5">
        <w:rPr>
          <w:rFonts w:eastAsia="Times New Roman"/>
        </w:rPr>
        <w:t>ha</w:t>
      </w:r>
      <w:r w:rsidR="005E4497">
        <w:rPr>
          <w:rFonts w:eastAsia="Times New Roman"/>
        </w:rPr>
        <w:t>s</w:t>
      </w:r>
      <w:r w:rsidR="00FF2BD5">
        <w:rPr>
          <w:rFonts w:eastAsia="Times New Roman"/>
        </w:rPr>
        <w:t xml:space="preserve"> a long </w:t>
      </w:r>
      <w:r w:rsidR="006E2C53">
        <w:rPr>
          <w:rFonts w:eastAsia="Times New Roman"/>
        </w:rPr>
        <w:t xml:space="preserve">biological </w:t>
      </w:r>
      <w:r w:rsidR="00FF2BD5">
        <w:rPr>
          <w:rFonts w:eastAsia="Times New Roman"/>
        </w:rPr>
        <w:t xml:space="preserve">half-life and </w:t>
      </w:r>
      <w:r w:rsidR="006E2C53">
        <w:rPr>
          <w:rFonts w:eastAsia="Times New Roman"/>
        </w:rPr>
        <w:t xml:space="preserve">physicochemical attributes that make it </w:t>
      </w:r>
      <w:r w:rsidR="00932DA2">
        <w:t>uniquely suited for development as a long-acting formulation</w:t>
      </w:r>
      <w:r w:rsidR="006E2C53">
        <w:rPr>
          <w:rFonts w:eastAsia="Times New Roman"/>
        </w:rPr>
        <w:t>.</w:t>
      </w:r>
      <w:r w:rsidR="00FF2BD5">
        <w:rPr>
          <w:rFonts w:eastAsia="Times New Roman"/>
        </w:rPr>
        <w:t xml:space="preserve"> Early </w:t>
      </w:r>
      <w:r w:rsidR="006E2C53">
        <w:rPr>
          <w:rFonts w:eastAsia="Times New Roman"/>
        </w:rPr>
        <w:t xml:space="preserve">clinical trials </w:t>
      </w:r>
      <w:r w:rsidR="00FF2BD5">
        <w:rPr>
          <w:rFonts w:eastAsia="Times New Roman"/>
        </w:rPr>
        <w:t>demonstrated that cabotegravir remain</w:t>
      </w:r>
      <w:r w:rsidR="006E2C53">
        <w:rPr>
          <w:rFonts w:eastAsia="Times New Roman"/>
        </w:rPr>
        <w:t>s</w:t>
      </w:r>
      <w:r w:rsidR="00FF2BD5">
        <w:rPr>
          <w:rFonts w:eastAsia="Times New Roman"/>
        </w:rPr>
        <w:t xml:space="preserve"> in the body for up to a year or longer after a single injection</w:t>
      </w:r>
      <w:r w:rsidR="006E2C53">
        <w:rPr>
          <w:rFonts w:eastAsia="Times New Roman"/>
        </w:rPr>
        <w:t>, validating the concept</w:t>
      </w:r>
      <w:r w:rsidR="00FF2BD5">
        <w:rPr>
          <w:rFonts w:eastAsia="Times New Roman"/>
        </w:rPr>
        <w:t xml:space="preserve">. </w:t>
      </w:r>
    </w:p>
    <w:p w14:paraId="48ABB758" w14:textId="50BFC3B9" w:rsidR="00BE6500" w:rsidRDefault="008E4C4C" w:rsidP="000B47CB">
      <w:pPr>
        <w:rPr>
          <w:rFonts w:eastAsia="Times New Roman"/>
        </w:rPr>
      </w:pPr>
      <w:r>
        <w:rPr>
          <w:rFonts w:eastAsia="Times New Roman"/>
        </w:rPr>
        <w:t xml:space="preserve">Proof of principle </w:t>
      </w:r>
      <w:r w:rsidR="00FF2BD5">
        <w:rPr>
          <w:rFonts w:eastAsia="Times New Roman"/>
        </w:rPr>
        <w:t xml:space="preserve">for the prevention of HIV infection </w:t>
      </w:r>
      <w:r w:rsidR="00E907F8">
        <w:rPr>
          <w:rFonts w:eastAsia="Times New Roman"/>
        </w:rPr>
        <w:t xml:space="preserve">was </w:t>
      </w:r>
      <w:r>
        <w:rPr>
          <w:rFonts w:eastAsia="Times New Roman"/>
        </w:rPr>
        <w:t>achieved through</w:t>
      </w:r>
      <w:r w:rsidR="00E907F8">
        <w:rPr>
          <w:rFonts w:eastAsia="Times New Roman"/>
        </w:rPr>
        <w:t xml:space="preserve"> extensive collaboration with academic centers at Aaron Diamond AIDS Research Center</w:t>
      </w:r>
      <w:r>
        <w:rPr>
          <w:rFonts w:eastAsia="Times New Roman"/>
        </w:rPr>
        <w:t xml:space="preserve">, </w:t>
      </w:r>
      <w:r w:rsidR="00E907F8">
        <w:rPr>
          <w:rFonts w:eastAsia="Times New Roman"/>
        </w:rPr>
        <w:t>the U</w:t>
      </w:r>
      <w:r w:rsidR="000E02AC">
        <w:rPr>
          <w:rFonts w:eastAsia="Times New Roman"/>
        </w:rPr>
        <w:t>.</w:t>
      </w:r>
      <w:r w:rsidR="00E907F8">
        <w:rPr>
          <w:rFonts w:eastAsia="Times New Roman"/>
        </w:rPr>
        <w:t>S</w:t>
      </w:r>
      <w:r w:rsidR="000E02AC">
        <w:rPr>
          <w:rFonts w:eastAsia="Times New Roman"/>
        </w:rPr>
        <w:t>.</w:t>
      </w:r>
      <w:r w:rsidR="00E907F8">
        <w:rPr>
          <w:rFonts w:eastAsia="Times New Roman"/>
        </w:rPr>
        <w:t xml:space="preserve"> Centers for Disease Control</w:t>
      </w:r>
      <w:r w:rsidR="000E02AC">
        <w:rPr>
          <w:rFonts w:eastAsia="Times New Roman"/>
        </w:rPr>
        <w:t xml:space="preserve"> and Prevention,</w:t>
      </w:r>
      <w:r w:rsidR="006E2C53">
        <w:rPr>
          <w:rFonts w:eastAsia="Times New Roman"/>
        </w:rPr>
        <w:t xml:space="preserve"> and </w:t>
      </w:r>
      <w:r w:rsidR="00347C3E">
        <w:rPr>
          <w:rFonts w:eastAsia="Times New Roman"/>
        </w:rPr>
        <w:t xml:space="preserve">the </w:t>
      </w:r>
      <w:r>
        <w:rPr>
          <w:rFonts w:eastAsia="Times New Roman"/>
        </w:rPr>
        <w:t>National Institute of Allergy and Infectious Diseases (NIAID)</w:t>
      </w:r>
      <w:r w:rsidR="00F77C07">
        <w:rPr>
          <w:rFonts w:eastAsia="Times New Roman"/>
        </w:rPr>
        <w:t xml:space="preserve">. Through these collaborations, </w:t>
      </w:r>
      <w:r w:rsidR="00E907F8">
        <w:rPr>
          <w:rFonts w:eastAsia="Times New Roman"/>
        </w:rPr>
        <w:t xml:space="preserve">non-human primate </w:t>
      </w:r>
      <w:r w:rsidR="00BE6500">
        <w:rPr>
          <w:rFonts w:eastAsia="Times New Roman"/>
        </w:rPr>
        <w:t xml:space="preserve">(NHP) </w:t>
      </w:r>
      <w:r w:rsidR="00E907F8">
        <w:rPr>
          <w:rFonts w:eastAsia="Times New Roman"/>
        </w:rPr>
        <w:t xml:space="preserve">research </w:t>
      </w:r>
      <w:r>
        <w:rPr>
          <w:rFonts w:eastAsia="Times New Roman"/>
        </w:rPr>
        <w:t xml:space="preserve">demonstrated </w:t>
      </w:r>
      <w:r w:rsidR="00F77C07">
        <w:rPr>
          <w:rFonts w:eastAsia="Times New Roman"/>
        </w:rPr>
        <w:t xml:space="preserve">that </w:t>
      </w:r>
      <w:r>
        <w:rPr>
          <w:rFonts w:eastAsia="Times New Roman"/>
        </w:rPr>
        <w:t xml:space="preserve">periodic </w:t>
      </w:r>
      <w:r w:rsidR="00BE6500">
        <w:rPr>
          <w:rFonts w:eastAsia="Times New Roman"/>
        </w:rPr>
        <w:t xml:space="preserve">cabotegravir </w:t>
      </w:r>
      <w:r>
        <w:rPr>
          <w:rFonts w:eastAsia="Times New Roman"/>
        </w:rPr>
        <w:t xml:space="preserve">injections </w:t>
      </w:r>
      <w:r w:rsidR="00BE6500">
        <w:rPr>
          <w:rFonts w:eastAsia="Times New Roman"/>
        </w:rPr>
        <w:t xml:space="preserve">could prevent infection in both male and female NHP and </w:t>
      </w:r>
      <w:r>
        <w:rPr>
          <w:rFonts w:eastAsia="Times New Roman"/>
        </w:rPr>
        <w:t xml:space="preserve">provided insights </w:t>
      </w:r>
      <w:r w:rsidR="00997F59">
        <w:rPr>
          <w:rFonts w:eastAsia="Times New Roman"/>
        </w:rPr>
        <w:t>on</w:t>
      </w:r>
      <w:r>
        <w:rPr>
          <w:rFonts w:eastAsia="Times New Roman"/>
        </w:rPr>
        <w:t xml:space="preserve"> the duration of</w:t>
      </w:r>
      <w:r w:rsidR="00BE6500">
        <w:rPr>
          <w:rFonts w:eastAsia="Times New Roman"/>
        </w:rPr>
        <w:t xml:space="preserve"> protection after the last injection. These results enabled Phase 2 studies in humans at low risk of acquiring HIV</w:t>
      </w:r>
      <w:r w:rsidR="005E4497">
        <w:rPr>
          <w:rFonts w:eastAsia="Times New Roman"/>
        </w:rPr>
        <w:t>, which</w:t>
      </w:r>
      <w:r w:rsidR="00BE6500">
        <w:rPr>
          <w:rFonts w:eastAsia="Times New Roman"/>
        </w:rPr>
        <w:t xml:space="preserve"> showed that cabotegravir was safe, well-tolerated, and confirmed the final dose</w:t>
      </w:r>
      <w:r>
        <w:rPr>
          <w:rFonts w:eastAsia="Times New Roman"/>
        </w:rPr>
        <w:t xml:space="preserve"> schedule</w:t>
      </w:r>
      <w:r w:rsidR="00BE6500">
        <w:rPr>
          <w:rFonts w:eastAsia="Times New Roman"/>
        </w:rPr>
        <w:t xml:space="preserve">.  </w:t>
      </w:r>
    </w:p>
    <w:p w14:paraId="364539E9" w14:textId="3398BA10" w:rsidR="00347C3E" w:rsidRDefault="00FA4575" w:rsidP="00347C3E">
      <w:pPr>
        <w:rPr>
          <w:rFonts w:eastAsia="Times New Roman"/>
        </w:rPr>
      </w:pPr>
      <w:r>
        <w:rPr>
          <w:rFonts w:eastAsia="Times New Roman"/>
        </w:rPr>
        <w:t xml:space="preserve">Clinical demonstration of safety and efficacy in populations most at risk of acquiring HIV was performed in collaboration with the HIV Prevention Trials Network and NIAID. </w:t>
      </w:r>
      <w:r w:rsidR="00E338C8">
        <w:rPr>
          <w:rFonts w:eastAsia="Times New Roman"/>
        </w:rPr>
        <w:t xml:space="preserve">Two international Phase </w:t>
      </w:r>
      <w:r w:rsidR="00347C3E">
        <w:rPr>
          <w:rFonts w:eastAsia="Times New Roman"/>
        </w:rPr>
        <w:t>III</w:t>
      </w:r>
      <w:r w:rsidR="00E338C8">
        <w:rPr>
          <w:rFonts w:eastAsia="Times New Roman"/>
        </w:rPr>
        <w:t xml:space="preserve"> studies of almost 8000 participants </w:t>
      </w:r>
      <w:r w:rsidR="00DE6170">
        <w:rPr>
          <w:rFonts w:eastAsia="Times New Roman"/>
        </w:rPr>
        <w:t xml:space="preserve">in North and South America, Asia, and Africa </w:t>
      </w:r>
      <w:r w:rsidR="00E338C8">
        <w:rPr>
          <w:rFonts w:eastAsia="Times New Roman"/>
        </w:rPr>
        <w:t>investigated if cabotegravir prevents HIV infection in at-risk cisgender men, transgender women, and cisgender women who have sex with men</w:t>
      </w:r>
      <w:r w:rsidR="00347C3E">
        <w:rPr>
          <w:rFonts w:eastAsia="Times New Roman"/>
        </w:rPr>
        <w:t>. T</w:t>
      </w:r>
      <w:r w:rsidR="00347C3E" w:rsidRPr="00FA4575">
        <w:rPr>
          <w:rFonts w:eastAsia="Times New Roman"/>
        </w:rPr>
        <w:t xml:space="preserve">he blinded, randomized portions of both trials were stopped early by an independent Data Safety Monitoring Board after cabotegravir long-acting for PrEP was shown to be superior to daily oral emtricitabine/tenofovir disoproxil fumarate (TDF/FTC) tablets in preventing the acquisition of HIV in study participants. </w:t>
      </w:r>
    </w:p>
    <w:p w14:paraId="2CE663B1" w14:textId="025290CA" w:rsidR="000B47CB" w:rsidRPr="00E30D5A" w:rsidRDefault="00C91C14" w:rsidP="00E30D5A">
      <w:pPr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br/>
      </w:r>
      <w:r w:rsidR="000B47CB" w:rsidRPr="00E30D5A">
        <w:rPr>
          <w:rFonts w:eastAsia="Times New Roman"/>
          <w:b/>
          <w:bCs/>
        </w:rPr>
        <w:t>Why this drug or device is innovative, the broad implications for future research, and/or how it will improve the human condition (300 words max</w:t>
      </w:r>
      <w:r w:rsidR="00941084">
        <w:rPr>
          <w:rFonts w:eastAsia="Times New Roman"/>
          <w:b/>
          <w:bCs/>
        </w:rPr>
        <w:t xml:space="preserve"> – at 29</w:t>
      </w:r>
      <w:r w:rsidR="00024F4B">
        <w:rPr>
          <w:rFonts w:eastAsia="Times New Roman"/>
          <w:b/>
          <w:bCs/>
        </w:rPr>
        <w:t>9</w:t>
      </w:r>
      <w:r w:rsidR="000B47CB" w:rsidRPr="00E30D5A">
        <w:rPr>
          <w:rFonts w:eastAsia="Times New Roman"/>
          <w:b/>
          <w:bCs/>
        </w:rPr>
        <w:t>)  </w:t>
      </w:r>
    </w:p>
    <w:p w14:paraId="1573408A" w14:textId="318657B9" w:rsidR="00E93F7A" w:rsidRDefault="00CF4C29" w:rsidP="006735D1">
      <w:pPr>
        <w:rPr>
          <w:rFonts w:eastAsia="Times New Roman"/>
        </w:rPr>
      </w:pPr>
      <w:r>
        <w:rPr>
          <w:rFonts w:eastAsia="Times New Roman"/>
        </w:rPr>
        <w:t xml:space="preserve">While there have been significant advancements in </w:t>
      </w:r>
      <w:r w:rsidR="006C4AAC">
        <w:rPr>
          <w:rFonts w:eastAsia="Times New Roman"/>
        </w:rPr>
        <w:t xml:space="preserve">antiviral </w:t>
      </w:r>
      <w:r w:rsidR="009E3EE7">
        <w:rPr>
          <w:rFonts w:eastAsia="Times New Roman"/>
        </w:rPr>
        <w:t>treatments</w:t>
      </w:r>
      <w:r w:rsidR="006C4AAC">
        <w:rPr>
          <w:rFonts w:eastAsia="Times New Roman"/>
        </w:rPr>
        <w:t xml:space="preserve"> in recent years</w:t>
      </w:r>
      <w:r>
        <w:rPr>
          <w:rFonts w:eastAsia="Times New Roman"/>
        </w:rPr>
        <w:t xml:space="preserve">, </w:t>
      </w:r>
      <w:r w:rsidR="000A3467">
        <w:rPr>
          <w:rFonts w:eastAsia="Times New Roman"/>
        </w:rPr>
        <w:t>it</w:t>
      </w:r>
      <w:r w:rsidR="003C6EEE">
        <w:rPr>
          <w:rFonts w:eastAsia="Times New Roman"/>
        </w:rPr>
        <w:t xml:space="preserve"> is</w:t>
      </w:r>
      <w:r>
        <w:rPr>
          <w:rFonts w:eastAsia="Times New Roman"/>
        </w:rPr>
        <w:t xml:space="preserve"> now recognized that end</w:t>
      </w:r>
      <w:r w:rsidR="00F06C49">
        <w:rPr>
          <w:rFonts w:eastAsia="Times New Roman"/>
        </w:rPr>
        <w:t>ing</w:t>
      </w:r>
      <w:r>
        <w:rPr>
          <w:rFonts w:eastAsia="Times New Roman"/>
        </w:rPr>
        <w:t xml:space="preserve"> the global HIV epidemic will take a combination of both treatment</w:t>
      </w:r>
      <w:r w:rsidR="00F95A59">
        <w:rPr>
          <w:rFonts w:eastAsia="Times New Roman"/>
        </w:rPr>
        <w:t xml:space="preserve"> and prevention</w:t>
      </w:r>
      <w:r>
        <w:rPr>
          <w:rFonts w:eastAsia="Times New Roman"/>
        </w:rPr>
        <w:t xml:space="preserve">. </w:t>
      </w:r>
      <w:r w:rsidR="007E58EF">
        <w:rPr>
          <w:rFonts w:eastAsia="Times New Roman"/>
        </w:rPr>
        <w:t xml:space="preserve">The innovation behind </w:t>
      </w:r>
      <w:r w:rsidR="009F467B">
        <w:rPr>
          <w:rFonts w:eastAsia="Times New Roman"/>
        </w:rPr>
        <w:t xml:space="preserve">APRETUDE </w:t>
      </w:r>
      <w:r w:rsidR="006735D1">
        <w:rPr>
          <w:rFonts w:eastAsia="Times New Roman"/>
        </w:rPr>
        <w:t xml:space="preserve">represents a </w:t>
      </w:r>
      <w:r w:rsidR="00DB3755">
        <w:rPr>
          <w:rFonts w:eastAsia="Times New Roman"/>
        </w:rPr>
        <w:t xml:space="preserve">ground-breaking </w:t>
      </w:r>
      <w:r w:rsidR="009F467B">
        <w:rPr>
          <w:rFonts w:eastAsia="Times New Roman"/>
        </w:rPr>
        <w:t>step</w:t>
      </w:r>
      <w:r w:rsidR="006735D1">
        <w:rPr>
          <w:rFonts w:eastAsia="Times New Roman"/>
        </w:rPr>
        <w:t xml:space="preserve"> forward in</w:t>
      </w:r>
      <w:r w:rsidR="007F5982">
        <w:rPr>
          <w:rFonts w:eastAsia="Times New Roman"/>
        </w:rPr>
        <w:t xml:space="preserve"> </w:t>
      </w:r>
      <w:r w:rsidR="009F467B">
        <w:rPr>
          <w:rFonts w:eastAsia="Times New Roman"/>
        </w:rPr>
        <w:t xml:space="preserve">new </w:t>
      </w:r>
      <w:r w:rsidR="006735D1">
        <w:rPr>
          <w:rFonts w:eastAsia="Times New Roman"/>
        </w:rPr>
        <w:t xml:space="preserve">options for </w:t>
      </w:r>
      <w:r w:rsidR="006C51E7">
        <w:rPr>
          <w:rFonts w:eastAsia="Times New Roman"/>
        </w:rPr>
        <w:t xml:space="preserve">HIV </w:t>
      </w:r>
      <w:r w:rsidR="005F778B">
        <w:rPr>
          <w:rFonts w:eastAsia="Times New Roman"/>
        </w:rPr>
        <w:t xml:space="preserve">prevention and </w:t>
      </w:r>
      <w:r w:rsidR="006735D1">
        <w:rPr>
          <w:rFonts w:eastAsia="Times New Roman"/>
        </w:rPr>
        <w:t xml:space="preserve">PrEP. </w:t>
      </w:r>
    </w:p>
    <w:p w14:paraId="5A5031F0" w14:textId="48C3AEBF" w:rsidR="006735D1" w:rsidRPr="00E93F7A" w:rsidRDefault="006735D1" w:rsidP="006735D1">
      <w:r>
        <w:rPr>
          <w:rFonts w:eastAsia="Times New Roman"/>
        </w:rPr>
        <w:t xml:space="preserve">Prior to FDA approval of </w:t>
      </w:r>
      <w:r w:rsidR="009F467B">
        <w:rPr>
          <w:rFonts w:eastAsia="Times New Roman"/>
        </w:rPr>
        <w:t xml:space="preserve">APRETUDE </w:t>
      </w:r>
      <w:r>
        <w:rPr>
          <w:rFonts w:eastAsia="Times New Roman"/>
        </w:rPr>
        <w:t xml:space="preserve">as the first and only </w:t>
      </w:r>
      <w:r w:rsidR="005F778B">
        <w:rPr>
          <w:rFonts w:eastAsia="Times New Roman"/>
        </w:rPr>
        <w:t xml:space="preserve">PrEP </w:t>
      </w:r>
      <w:r>
        <w:rPr>
          <w:rFonts w:eastAsia="Times New Roman"/>
        </w:rPr>
        <w:t xml:space="preserve">injectable, existing options were </w:t>
      </w:r>
      <w:r w:rsidR="009F467B">
        <w:rPr>
          <w:rFonts w:eastAsia="Times New Roman"/>
        </w:rPr>
        <w:t xml:space="preserve">limited </w:t>
      </w:r>
      <w:r>
        <w:rPr>
          <w:rFonts w:eastAsia="Times New Roman"/>
        </w:rPr>
        <w:t>to daily oral pills</w:t>
      </w:r>
      <w:r w:rsidR="00043DF2">
        <w:rPr>
          <w:rFonts w:eastAsia="Times New Roman"/>
        </w:rPr>
        <w:t xml:space="preserve">, </w:t>
      </w:r>
      <w:r>
        <w:rPr>
          <w:rFonts w:eastAsia="Times New Roman"/>
        </w:rPr>
        <w:t xml:space="preserve">which </w:t>
      </w:r>
      <w:r w:rsidR="001A4155">
        <w:rPr>
          <w:rFonts w:eastAsia="Times New Roman"/>
        </w:rPr>
        <w:t xml:space="preserve">can </w:t>
      </w:r>
      <w:r w:rsidR="00BC6A56">
        <w:rPr>
          <w:rFonts w:eastAsia="Times New Roman"/>
        </w:rPr>
        <w:t>pose a challenge for some users</w:t>
      </w:r>
      <w:r>
        <w:rPr>
          <w:rFonts w:eastAsia="Times New Roman"/>
        </w:rPr>
        <w:t xml:space="preserve"> with issues of non-adherence and lack of persistent use. </w:t>
      </w:r>
      <w:r w:rsidR="009F467B">
        <w:rPr>
          <w:rFonts w:eastAsia="Times New Roman"/>
        </w:rPr>
        <w:t>APRETUDE</w:t>
      </w:r>
      <w:r w:rsidR="00E93F7A">
        <w:rPr>
          <w:rFonts w:eastAsia="Times New Roman"/>
        </w:rPr>
        <w:t xml:space="preserve">’s </w:t>
      </w:r>
      <w:r w:rsidR="00E93F7A" w:rsidRPr="00DA4410">
        <w:rPr>
          <w:rFonts w:eastAsia="Calibri"/>
        </w:rPr>
        <w:t xml:space="preserve">every </w:t>
      </w:r>
      <w:r w:rsidR="007A2721">
        <w:rPr>
          <w:rFonts w:eastAsia="Calibri"/>
        </w:rPr>
        <w:t>two-month</w:t>
      </w:r>
      <w:r w:rsidR="00E93F7A" w:rsidRPr="00DA4410">
        <w:rPr>
          <w:rFonts w:eastAsia="Calibri"/>
        </w:rPr>
        <w:t xml:space="preserve"> </w:t>
      </w:r>
      <w:r w:rsidR="00DE6170">
        <w:rPr>
          <w:rFonts w:eastAsia="Calibri"/>
        </w:rPr>
        <w:t>injection</w:t>
      </w:r>
      <w:r w:rsidR="009F467B">
        <w:rPr>
          <w:rFonts w:eastAsia="Calibri"/>
        </w:rPr>
        <w:t xml:space="preserve"> schedule</w:t>
      </w:r>
      <w:r w:rsidR="00E93F7A" w:rsidRPr="00DA4410">
        <w:rPr>
          <w:rFonts w:eastAsia="Calibri"/>
        </w:rPr>
        <w:t xml:space="preserve"> </w:t>
      </w:r>
      <w:r w:rsidR="009F467B">
        <w:rPr>
          <w:rFonts w:eastAsia="Calibri"/>
        </w:rPr>
        <w:t>eliminates the need for a daily</w:t>
      </w:r>
      <w:r w:rsidR="00E93F7A" w:rsidRPr="00DA4410">
        <w:rPr>
          <w:rFonts w:eastAsia="Calibri"/>
        </w:rPr>
        <w:t xml:space="preserve"> </w:t>
      </w:r>
      <w:r w:rsidR="00024F4B">
        <w:rPr>
          <w:rFonts w:eastAsia="Calibri"/>
        </w:rPr>
        <w:t xml:space="preserve">pill </w:t>
      </w:r>
      <w:r w:rsidR="009F467B">
        <w:rPr>
          <w:rFonts w:eastAsia="Calibri"/>
        </w:rPr>
        <w:t>and may</w:t>
      </w:r>
      <w:r w:rsidR="009F467B" w:rsidRPr="001B0AB5">
        <w:t xml:space="preserve"> </w:t>
      </w:r>
      <w:r w:rsidR="0038205C">
        <w:t xml:space="preserve">contribute to the mitigation of key </w:t>
      </w:r>
      <w:r w:rsidR="00F63815">
        <w:t xml:space="preserve">issues related to </w:t>
      </w:r>
      <w:r w:rsidR="00CD061A">
        <w:t xml:space="preserve">adherence, </w:t>
      </w:r>
      <w:r w:rsidR="00F63815">
        <w:t xml:space="preserve">stigma, </w:t>
      </w:r>
      <w:r w:rsidR="00E93F7A" w:rsidRPr="001B0AB5">
        <w:t xml:space="preserve">and negotiation of </w:t>
      </w:r>
      <w:r w:rsidR="008C0596">
        <w:t xml:space="preserve">HIV </w:t>
      </w:r>
      <w:r w:rsidR="00E93F7A" w:rsidRPr="001B0AB5">
        <w:t xml:space="preserve">protection with </w:t>
      </w:r>
      <w:r w:rsidR="00E93F7A">
        <w:t xml:space="preserve">sexual </w:t>
      </w:r>
      <w:r w:rsidR="00E93F7A" w:rsidRPr="001B0AB5">
        <w:t>partners.</w:t>
      </w:r>
      <w:r w:rsidR="00421CD3">
        <w:t xml:space="preserve"> </w:t>
      </w:r>
      <w:r w:rsidR="00997236">
        <w:t xml:space="preserve">It is an option </w:t>
      </w:r>
      <w:r w:rsidR="00501E9F">
        <w:t xml:space="preserve">that may </w:t>
      </w:r>
      <w:r w:rsidR="00D14CD7">
        <w:t xml:space="preserve">meet </w:t>
      </w:r>
      <w:r w:rsidR="00816BA0">
        <w:t xml:space="preserve">the </w:t>
      </w:r>
      <w:r w:rsidR="00D14CD7">
        <w:t>different needs, lifestyles</w:t>
      </w:r>
      <w:r w:rsidR="009F467B">
        <w:t>,</w:t>
      </w:r>
      <w:r w:rsidR="00D14CD7">
        <w:t xml:space="preserve"> and circumstances</w:t>
      </w:r>
      <w:r w:rsidR="00816BA0">
        <w:t xml:space="preserve"> of persons who are at risk of sexually acquiring HIV. </w:t>
      </w:r>
      <w:r w:rsidR="00997236">
        <w:t xml:space="preserve">For the first time ever, there </w:t>
      </w:r>
      <w:r w:rsidR="0098410B">
        <w:t>are</w:t>
      </w:r>
      <w:r w:rsidR="00997236">
        <w:t xml:space="preserve"> now choices in HIV PrEP; t</w:t>
      </w:r>
      <w:r w:rsidR="00730F7E">
        <w:t xml:space="preserve">his is essential </w:t>
      </w:r>
      <w:r w:rsidR="0082548F">
        <w:t xml:space="preserve">progress </w:t>
      </w:r>
      <w:r w:rsidR="00816BA0">
        <w:t xml:space="preserve">if </w:t>
      </w:r>
      <w:r w:rsidR="00D14CD7">
        <w:t xml:space="preserve">we </w:t>
      </w:r>
      <w:r w:rsidR="00816BA0">
        <w:t xml:space="preserve">are </w:t>
      </w:r>
      <w:r w:rsidR="0082548F">
        <w:t xml:space="preserve">to make inroads on ending HIV around the world. </w:t>
      </w:r>
    </w:p>
    <w:p w14:paraId="5955F7C1" w14:textId="1949F0BC" w:rsidR="00896535" w:rsidRDefault="00E30D5A" w:rsidP="000B47CB">
      <w:pPr>
        <w:rPr>
          <w:rFonts w:eastAsia="Times New Roman"/>
        </w:rPr>
      </w:pPr>
      <w:r>
        <w:t>The superior efficacy observed versus</w:t>
      </w:r>
      <w:r w:rsidR="009F467B">
        <w:t xml:space="preserve"> daily</w:t>
      </w:r>
      <w:r>
        <w:t xml:space="preserve"> </w:t>
      </w:r>
      <w:r w:rsidR="009F467B" w:rsidRPr="00FA4575">
        <w:rPr>
          <w:rFonts w:eastAsia="Times New Roman"/>
        </w:rPr>
        <w:t xml:space="preserve">TDF/FTC tablets </w:t>
      </w:r>
      <w:r w:rsidR="00276396">
        <w:t xml:space="preserve">also </w:t>
      </w:r>
      <w:r>
        <w:t>sets a new standard for future research</w:t>
      </w:r>
      <w:r w:rsidR="00276396">
        <w:t xml:space="preserve">. </w:t>
      </w:r>
      <w:r w:rsidR="00E36AEF">
        <w:t xml:space="preserve">With proven efficacy of long-acting medicines for PrEP, </w:t>
      </w:r>
      <w:r w:rsidR="009F467B">
        <w:t xml:space="preserve">APRETUDE </w:t>
      </w:r>
      <w:r w:rsidR="00D8234E">
        <w:t xml:space="preserve">paves the way for the research of </w:t>
      </w:r>
      <w:r w:rsidR="00D8234E">
        <w:lastRenderedPageBreak/>
        <w:t xml:space="preserve">even longer-acting medicines </w:t>
      </w:r>
      <w:r w:rsidR="00BA7392">
        <w:t xml:space="preserve">with profiles </w:t>
      </w:r>
      <w:r w:rsidR="00572DCC">
        <w:t xml:space="preserve">that may </w:t>
      </w:r>
      <w:r w:rsidR="00BA7392">
        <w:t xml:space="preserve">support longer dosing intervals and different routes of administration. </w:t>
      </w:r>
      <w:r w:rsidR="00BF0207">
        <w:t>Additionally, a</w:t>
      </w:r>
      <w:r w:rsidR="00896535">
        <w:rPr>
          <w:rFonts w:eastAsia="Times New Roman"/>
        </w:rPr>
        <w:t xml:space="preserve">s continued efforts are being made to </w:t>
      </w:r>
      <w:r w:rsidR="0025575D">
        <w:rPr>
          <w:rFonts w:eastAsia="Times New Roman"/>
        </w:rPr>
        <w:t>ensu</w:t>
      </w:r>
      <w:r w:rsidR="003E012F">
        <w:rPr>
          <w:rFonts w:eastAsia="Times New Roman"/>
        </w:rPr>
        <w:t>re</w:t>
      </w:r>
      <w:r w:rsidR="00896535">
        <w:rPr>
          <w:rFonts w:eastAsia="Times New Roman"/>
        </w:rPr>
        <w:t xml:space="preserve"> clinical trials</w:t>
      </w:r>
      <w:r w:rsidR="003E012F">
        <w:rPr>
          <w:rFonts w:eastAsia="Times New Roman"/>
        </w:rPr>
        <w:t xml:space="preserve"> are diverse</w:t>
      </w:r>
      <w:r w:rsidR="00896535">
        <w:rPr>
          <w:rFonts w:eastAsia="Times New Roman"/>
        </w:rPr>
        <w:t xml:space="preserve">, </w:t>
      </w:r>
      <w:r w:rsidR="009F467B">
        <w:rPr>
          <w:rFonts w:eastAsia="Times New Roman"/>
        </w:rPr>
        <w:t xml:space="preserve">APRETUDE </w:t>
      </w:r>
      <w:r w:rsidR="003E012F">
        <w:rPr>
          <w:rFonts w:eastAsia="Times New Roman"/>
        </w:rPr>
        <w:t>established</w:t>
      </w:r>
      <w:r w:rsidR="00896535">
        <w:rPr>
          <w:rFonts w:eastAsia="Times New Roman"/>
        </w:rPr>
        <w:t xml:space="preserve"> the blueprint by including </w:t>
      </w:r>
      <w:r w:rsidR="00896535" w:rsidRPr="00F839CC">
        <w:rPr>
          <w:rFonts w:eastAsia="Times New Roman"/>
        </w:rPr>
        <w:t>some of the largest numbers of transgender women and Black MSM ever enrolled in an HIV prevention trial.</w:t>
      </w:r>
      <w:r w:rsidR="00896535">
        <w:rPr>
          <w:rFonts w:eastAsia="Times New Roman"/>
        </w:rPr>
        <w:t xml:space="preserve"> </w:t>
      </w:r>
    </w:p>
    <w:p w14:paraId="7ED82104" w14:textId="758E7F3E" w:rsidR="0098410B" w:rsidRPr="0089750A" w:rsidRDefault="00024F4B" w:rsidP="000B47CB">
      <w:pPr>
        <w:rPr>
          <w:rFonts w:eastAsia="Times New Roman"/>
        </w:rPr>
      </w:pPr>
      <w:r>
        <w:rPr>
          <w:rFonts w:eastAsia="Times New Roman"/>
        </w:rPr>
        <w:t>A</w:t>
      </w:r>
      <w:r w:rsidR="00A10D08">
        <w:rPr>
          <w:rFonts w:eastAsia="Times New Roman"/>
        </w:rPr>
        <w:t>s we look toward the rest of the world, c</w:t>
      </w:r>
      <w:r w:rsidR="00A10D08" w:rsidRPr="00082CB8">
        <w:rPr>
          <w:rFonts w:eastAsia="Times New Roman"/>
        </w:rPr>
        <w:t>abotegravir extended-release injectable suspension</w:t>
      </w:r>
      <w:r w:rsidR="00A10D08">
        <w:rPr>
          <w:rFonts w:eastAsia="Times New Roman"/>
        </w:rPr>
        <w:t xml:space="preserve"> is poised to </w:t>
      </w:r>
      <w:r w:rsidR="0089750A">
        <w:rPr>
          <w:rFonts w:eastAsia="Times New Roman"/>
        </w:rPr>
        <w:t xml:space="preserve">bring PrEP options into communities around the world. </w:t>
      </w:r>
      <w:r w:rsidR="009F467B">
        <w:rPr>
          <w:rFonts w:eastAsia="Times New Roman"/>
        </w:rPr>
        <w:t>APRETUDE</w:t>
      </w:r>
      <w:r w:rsidR="00441BF6">
        <w:rPr>
          <w:rFonts w:eastAsia="Times New Roman"/>
        </w:rPr>
        <w:t xml:space="preserve">’s rollout in the US brings us one step closer to the shared global goal of ending the HIV epidemic. </w:t>
      </w:r>
    </w:p>
    <w:p w14:paraId="713756FC" w14:textId="1AA8A7E6" w:rsidR="00E30D5A" w:rsidRDefault="00E30D5A" w:rsidP="000B47CB">
      <w:pPr>
        <w:rPr>
          <w:rFonts w:eastAsia="Times New Roman"/>
        </w:rPr>
      </w:pPr>
    </w:p>
    <w:p w14:paraId="1D8B3653" w14:textId="77777777" w:rsidR="000B47CB" w:rsidRPr="00D818E3" w:rsidRDefault="000B47CB" w:rsidP="00D818E3">
      <w:pPr>
        <w:rPr>
          <w:rFonts w:eastAsia="Times New Roman"/>
          <w:b/>
          <w:bCs/>
        </w:rPr>
      </w:pPr>
      <w:r w:rsidRPr="00D818E3">
        <w:rPr>
          <w:rFonts w:eastAsia="Times New Roman"/>
          <w:b/>
          <w:bCs/>
        </w:rPr>
        <w:t xml:space="preserve">Please provide appropriate Pubmed references and Pubmed links </w:t>
      </w:r>
    </w:p>
    <w:p w14:paraId="110C816C" w14:textId="076782FE" w:rsidR="00EE138B" w:rsidRDefault="00C25421" w:rsidP="00EE138B">
      <w:pPr>
        <w:rPr>
          <w:rFonts w:eastAsia="Times New Roman" w:cstheme="minorHAnsi"/>
          <w:color w:val="212121"/>
        </w:rPr>
      </w:pPr>
      <w:r w:rsidRPr="00A67BB7">
        <w:rPr>
          <w:rFonts w:cstheme="minorHAnsi"/>
        </w:rPr>
        <w:t xml:space="preserve">Delany-Moretlwe S, Hughes JP, Bock P, et al. </w:t>
      </w:r>
      <w:r w:rsidR="00EE138B" w:rsidRPr="00A67BB7">
        <w:rPr>
          <w:rFonts w:cstheme="minorHAnsi"/>
          <w:i/>
          <w:iCs/>
          <w:color w:val="212121"/>
          <w:shd w:val="clear" w:color="auto" w:fill="FFFFFF"/>
        </w:rPr>
        <w:t>Cabotegravir for the prevention of HIV-1 in women: results from HPTN 084, a phase 3, randomised clinical trial.</w:t>
      </w:r>
      <w:r w:rsidR="00EE138B" w:rsidRPr="00A67BB7">
        <w:rPr>
          <w:rFonts w:cstheme="minorHAnsi"/>
          <w:color w:val="212121"/>
          <w:shd w:val="clear" w:color="auto" w:fill="FFFFFF"/>
        </w:rPr>
        <w:t xml:space="preserve"> Lancet. 2022 May 7;399(10337):1779-1789. doi: 10.1016/S0140-6736(22)00538-4. Epub 2022 Apr 1. Erratum in: Lancet. 2022 May 7;399(10337):1778. PMID: 35378077; PMCID: PMC9077443.</w:t>
      </w:r>
      <w:r w:rsidR="00EE138B" w:rsidRPr="00A67BB7">
        <w:rPr>
          <w:rFonts w:eastAsia="Times New Roman" w:cstheme="minorHAnsi"/>
          <w:color w:val="212121"/>
        </w:rPr>
        <w:t xml:space="preserve"> </w:t>
      </w:r>
      <w:hyperlink r:id="rId11" w:history="1">
        <w:r w:rsidR="00A67BB7" w:rsidRPr="00A67BB7">
          <w:rPr>
            <w:rStyle w:val="Hyperlink"/>
            <w:rFonts w:eastAsia="Times New Roman" w:cstheme="minorHAnsi"/>
          </w:rPr>
          <w:t>https://pubmed.ncbi.nlm.nih.gov/35378077/</w:t>
        </w:r>
      </w:hyperlink>
      <w:r w:rsidR="00A67BB7" w:rsidRPr="00A67BB7">
        <w:rPr>
          <w:rFonts w:eastAsia="Times New Roman" w:cstheme="minorHAnsi"/>
          <w:color w:val="212121"/>
        </w:rPr>
        <w:t xml:space="preserve"> </w:t>
      </w:r>
    </w:p>
    <w:p w14:paraId="3F529A58" w14:textId="4DAA8ABF" w:rsidR="00A67BB7" w:rsidRDefault="00A67BB7" w:rsidP="00A67BB7">
      <w:pPr>
        <w:rPr>
          <w:rFonts w:cstheme="minorHAnsi"/>
          <w:color w:val="212121"/>
          <w:shd w:val="clear" w:color="auto" w:fill="FFFFFF"/>
        </w:rPr>
      </w:pPr>
      <w:r w:rsidRPr="00A67BB7">
        <w:rPr>
          <w:rFonts w:cstheme="minorHAnsi"/>
          <w:color w:val="212121"/>
          <w:shd w:val="clear" w:color="auto" w:fill="FFFFFF"/>
        </w:rPr>
        <w:t xml:space="preserve">Canetti D, Spagnuolo V. </w:t>
      </w:r>
      <w:r w:rsidRPr="00A67BB7">
        <w:rPr>
          <w:rFonts w:cstheme="minorHAnsi"/>
          <w:i/>
          <w:iCs/>
          <w:color w:val="212121"/>
          <w:shd w:val="clear" w:color="auto" w:fill="FFFFFF"/>
        </w:rPr>
        <w:t>An evaluation of cabotegravir for HIV treatment and prevention.</w:t>
      </w:r>
      <w:r w:rsidRPr="00A67BB7">
        <w:rPr>
          <w:rFonts w:cstheme="minorHAnsi"/>
          <w:color w:val="212121"/>
          <w:shd w:val="clear" w:color="auto" w:fill="FFFFFF"/>
        </w:rPr>
        <w:t xml:space="preserve"> Expert Opin Pharmacother. 2021 Mar;22(4):403-414. doi: 10.1080/14656566.2020.1843635. Epub 2020 Nov 11. PMID: 33112699. </w:t>
      </w:r>
      <w:hyperlink r:id="rId12" w:history="1">
        <w:r w:rsidRPr="00A67BB7">
          <w:rPr>
            <w:rStyle w:val="Hyperlink"/>
            <w:rFonts w:cstheme="minorHAnsi"/>
            <w:shd w:val="clear" w:color="auto" w:fill="FFFFFF"/>
          </w:rPr>
          <w:t>https://pubmed.ncbi.nlm.nih.gov/33112699/</w:t>
        </w:r>
      </w:hyperlink>
    </w:p>
    <w:p w14:paraId="7B745FC3" w14:textId="77777777" w:rsidR="00A67BB7" w:rsidRPr="00A67BB7" w:rsidRDefault="00A67BB7" w:rsidP="00A67BB7">
      <w:pPr>
        <w:rPr>
          <w:rFonts w:cstheme="minorHAnsi"/>
          <w:color w:val="212121"/>
          <w:shd w:val="clear" w:color="auto" w:fill="FFFFFF"/>
        </w:rPr>
      </w:pPr>
      <w:r w:rsidRPr="00A67BB7">
        <w:rPr>
          <w:rFonts w:cstheme="minorHAnsi"/>
          <w:color w:val="212121"/>
          <w:shd w:val="clear" w:color="auto" w:fill="FFFFFF"/>
        </w:rPr>
        <w:t xml:space="preserve">Cohen MS, Landovitz RJ. </w:t>
      </w:r>
      <w:r w:rsidRPr="000131FA">
        <w:rPr>
          <w:rFonts w:cstheme="minorHAnsi"/>
          <w:i/>
          <w:iCs/>
          <w:color w:val="212121"/>
          <w:shd w:val="clear" w:color="auto" w:fill="FFFFFF"/>
        </w:rPr>
        <w:t>Assessing the Role of Long-Acting Cabotegravir Preexposure Prophylaxis of Human Immunodeficiency Virus: Opportunities and Aspirations</w:t>
      </w:r>
      <w:r w:rsidRPr="00A67BB7">
        <w:rPr>
          <w:rFonts w:cstheme="minorHAnsi"/>
          <w:color w:val="212121"/>
          <w:shd w:val="clear" w:color="auto" w:fill="FFFFFF"/>
        </w:rPr>
        <w:t xml:space="preserve">. J Infect Dis. 2021 Jan 4;223(1):1-3. doi: 10.1093/infdis/jiaa555. PMID: 32882042; PMCID: PMC7781443. </w:t>
      </w:r>
      <w:hyperlink r:id="rId13" w:history="1">
        <w:r w:rsidRPr="00A67BB7">
          <w:rPr>
            <w:rStyle w:val="Hyperlink"/>
            <w:rFonts w:cstheme="minorHAnsi"/>
            <w:shd w:val="clear" w:color="auto" w:fill="FFFFFF"/>
          </w:rPr>
          <w:t>https://pubmed.ncbi.nlm.nih.gov/32882042/</w:t>
        </w:r>
      </w:hyperlink>
      <w:r w:rsidRPr="00A67BB7">
        <w:rPr>
          <w:rFonts w:cstheme="minorHAnsi"/>
          <w:color w:val="212121"/>
          <w:shd w:val="clear" w:color="auto" w:fill="FFFFFF"/>
        </w:rPr>
        <w:t xml:space="preserve"> </w:t>
      </w:r>
    </w:p>
    <w:p w14:paraId="5EF7F97C" w14:textId="77777777" w:rsidR="00A67BB7" w:rsidRPr="00A67BB7" w:rsidRDefault="00A67BB7" w:rsidP="00A67BB7">
      <w:pPr>
        <w:rPr>
          <w:rFonts w:cstheme="minorHAnsi"/>
          <w:color w:val="212121"/>
          <w:shd w:val="clear" w:color="auto" w:fill="FFFFFF"/>
        </w:rPr>
      </w:pPr>
      <w:r w:rsidRPr="00A67BB7">
        <w:rPr>
          <w:rFonts w:cstheme="minorHAnsi"/>
          <w:color w:val="212121"/>
          <w:shd w:val="clear" w:color="auto" w:fill="FFFFFF"/>
        </w:rPr>
        <w:t xml:space="preserve">Engelman KD, Engelman AN. </w:t>
      </w:r>
      <w:r w:rsidRPr="00A67BB7">
        <w:rPr>
          <w:rFonts w:cstheme="minorHAnsi"/>
          <w:i/>
          <w:iCs/>
          <w:color w:val="212121"/>
          <w:shd w:val="clear" w:color="auto" w:fill="FFFFFF"/>
        </w:rPr>
        <w:t>Long-Acting Cabotegravir for HIV/AIDS Prophylaxis.</w:t>
      </w:r>
      <w:r w:rsidRPr="00A67BB7">
        <w:rPr>
          <w:rFonts w:cstheme="minorHAnsi"/>
          <w:color w:val="212121"/>
          <w:shd w:val="clear" w:color="auto" w:fill="FFFFFF"/>
        </w:rPr>
        <w:t xml:space="preserve"> Biochemistry. 2021 Jun 8;60(22):1731-1740. doi: 10.1021/acs.biochem.1c00157. Epub 2021 May 24. PMID: 34029457; PMCID: PMC8515172. </w:t>
      </w:r>
      <w:hyperlink r:id="rId14" w:history="1">
        <w:r w:rsidRPr="00A67BB7">
          <w:rPr>
            <w:rStyle w:val="Hyperlink"/>
            <w:rFonts w:cstheme="minorHAnsi"/>
            <w:shd w:val="clear" w:color="auto" w:fill="FFFFFF"/>
          </w:rPr>
          <w:t>https://pubmed.ncbi.nlm.nih.gov/34029457/</w:t>
        </w:r>
      </w:hyperlink>
    </w:p>
    <w:p w14:paraId="54660E6F" w14:textId="3C1BC976" w:rsidR="00E10D8B" w:rsidRPr="00E10D8B" w:rsidRDefault="00E10D8B" w:rsidP="00EE138B">
      <w:pPr>
        <w:rPr>
          <w:rFonts w:eastAsia="Times New Roman" w:cstheme="minorHAnsi"/>
          <w:color w:val="212121"/>
        </w:rPr>
      </w:pPr>
      <w:r w:rsidRPr="00E10D8B">
        <w:rPr>
          <w:rFonts w:eastAsia="Times New Roman" w:cstheme="minorHAnsi"/>
          <w:color w:val="212121"/>
        </w:rPr>
        <w:t>Eshleman SH, Fogel JM, Piwowar-Manning E,</w:t>
      </w:r>
      <w:r w:rsidRPr="00A67BB7">
        <w:rPr>
          <w:rFonts w:eastAsia="Times New Roman" w:cstheme="minorHAnsi"/>
          <w:color w:val="212121"/>
        </w:rPr>
        <w:t xml:space="preserve"> et al</w:t>
      </w:r>
      <w:r w:rsidRPr="00E10D8B">
        <w:rPr>
          <w:rFonts w:eastAsia="Times New Roman" w:cstheme="minorHAnsi"/>
          <w:color w:val="212121"/>
        </w:rPr>
        <w:t xml:space="preserve">. </w:t>
      </w:r>
      <w:r w:rsidRPr="00E10D8B">
        <w:rPr>
          <w:rFonts w:eastAsia="Times New Roman" w:cstheme="minorHAnsi"/>
          <w:i/>
          <w:iCs/>
          <w:color w:val="212121"/>
        </w:rPr>
        <w:t>Characterization of Human Immunodeficiency Virus (HIV) Infections in Women Who Received Injectable Cabotegravir or Tenofovir Disoproxil Fumarate/Emtricitabine for HIV Prevention: HPTN 084.</w:t>
      </w:r>
      <w:r w:rsidRPr="00E10D8B">
        <w:rPr>
          <w:rFonts w:eastAsia="Times New Roman" w:cstheme="minorHAnsi"/>
          <w:color w:val="212121"/>
        </w:rPr>
        <w:t xml:space="preserve"> J Infect Dis. 2022 May 16;225(10):1741-1749. doi: 10.1093/infdis/jiab576. PMID: 35301540; PMCID: PMC9113509.</w:t>
      </w:r>
      <w:r w:rsidR="00F7441B" w:rsidRPr="00A67BB7">
        <w:rPr>
          <w:rFonts w:eastAsia="Times New Roman" w:cstheme="minorHAnsi"/>
          <w:color w:val="212121"/>
        </w:rPr>
        <w:t xml:space="preserve"> </w:t>
      </w:r>
      <w:hyperlink r:id="rId15" w:history="1">
        <w:r w:rsidR="00072140" w:rsidRPr="00A67BB7">
          <w:rPr>
            <w:rStyle w:val="Hyperlink"/>
            <w:rFonts w:eastAsia="Times New Roman" w:cstheme="minorHAnsi"/>
          </w:rPr>
          <w:t>https://pubmed.ncbi.nlm.nih.gov/35301540/</w:t>
        </w:r>
      </w:hyperlink>
      <w:r w:rsidR="00072140" w:rsidRPr="00A67BB7">
        <w:rPr>
          <w:rFonts w:eastAsia="Times New Roman" w:cstheme="minorHAnsi"/>
          <w:color w:val="212121"/>
        </w:rPr>
        <w:t xml:space="preserve"> </w:t>
      </w:r>
    </w:p>
    <w:p w14:paraId="4BE886E6" w14:textId="5F2D26BF" w:rsidR="00AE7703" w:rsidRDefault="00AE7703" w:rsidP="004C01A1">
      <w:pPr>
        <w:rPr>
          <w:rStyle w:val="docsum-authors"/>
          <w:rFonts w:cstheme="minorHAnsi"/>
          <w:color w:val="212121"/>
        </w:rPr>
      </w:pPr>
      <w:r w:rsidRPr="00A67BB7">
        <w:rPr>
          <w:rFonts w:cstheme="minorHAnsi"/>
          <w:color w:val="212121"/>
          <w:shd w:val="clear" w:color="auto" w:fill="FFFFFF"/>
        </w:rPr>
        <w:t xml:space="preserve">Kirby T. </w:t>
      </w:r>
      <w:r w:rsidRPr="000131FA">
        <w:rPr>
          <w:rFonts w:cstheme="minorHAnsi"/>
          <w:i/>
          <w:iCs/>
          <w:color w:val="212121"/>
          <w:shd w:val="clear" w:color="auto" w:fill="FFFFFF"/>
        </w:rPr>
        <w:t>Cabotegravir, a new option for PrEP</w:t>
      </w:r>
      <w:r w:rsidRPr="00A67BB7">
        <w:rPr>
          <w:rFonts w:cstheme="minorHAnsi"/>
          <w:color w:val="212121"/>
          <w:shd w:val="clear" w:color="auto" w:fill="FFFFFF"/>
        </w:rPr>
        <w:t>. Lancet Infect Dis. 2020 Jul;20(7):781. doi: 10.1016/S1473-3099(20)30497-7. PMID: 32592669.</w:t>
      </w:r>
      <w:r w:rsidRPr="00A67BB7">
        <w:rPr>
          <w:rStyle w:val="docsum-authors"/>
          <w:rFonts w:cstheme="minorHAnsi"/>
          <w:color w:val="212121"/>
        </w:rPr>
        <w:t xml:space="preserve"> </w:t>
      </w:r>
      <w:r w:rsidR="00072140" w:rsidRPr="00A67BB7">
        <w:rPr>
          <w:rStyle w:val="docsum-authors"/>
          <w:rFonts w:cstheme="minorHAnsi"/>
          <w:color w:val="212121"/>
        </w:rPr>
        <w:t xml:space="preserve"> </w:t>
      </w:r>
      <w:hyperlink r:id="rId16" w:history="1">
        <w:r w:rsidR="00072140" w:rsidRPr="00A67BB7">
          <w:rPr>
            <w:rStyle w:val="Hyperlink"/>
            <w:rFonts w:cstheme="minorHAnsi"/>
          </w:rPr>
          <w:t>https://pubmed.ncbi.nlm.nih.gov/32592669/</w:t>
        </w:r>
      </w:hyperlink>
      <w:r w:rsidR="00072140" w:rsidRPr="00A67BB7">
        <w:rPr>
          <w:rStyle w:val="docsum-authors"/>
          <w:rFonts w:cstheme="minorHAnsi"/>
          <w:color w:val="212121"/>
        </w:rPr>
        <w:t xml:space="preserve"> </w:t>
      </w:r>
    </w:p>
    <w:p w14:paraId="08D5F2FB" w14:textId="77777777" w:rsidR="00A67BB7" w:rsidRPr="00A67BB7" w:rsidRDefault="00A67BB7" w:rsidP="00A67BB7">
      <w:pPr>
        <w:rPr>
          <w:rFonts w:cstheme="minorHAnsi"/>
        </w:rPr>
      </w:pPr>
      <w:r w:rsidRPr="00A67BB7">
        <w:rPr>
          <w:rFonts w:cstheme="minorHAnsi"/>
          <w:color w:val="212121"/>
          <w:shd w:val="clear" w:color="auto" w:fill="FFFFFF"/>
        </w:rPr>
        <w:t xml:space="preserve">Kerrigan D, Mantsios A, Grant R, Markowitz M, Defechereux P, La Mar M, Beckham SW, Hammond P, Margolis D, Murray M. </w:t>
      </w:r>
      <w:r w:rsidRPr="00A67BB7">
        <w:rPr>
          <w:rFonts w:cstheme="minorHAnsi"/>
          <w:i/>
          <w:iCs/>
          <w:color w:val="212121"/>
          <w:shd w:val="clear" w:color="auto" w:fill="FFFFFF"/>
        </w:rPr>
        <w:t>Expanding the Menu of HIV Prevention Options: A Qualitative Study of Experiences with Long-Acting Injectable Cabotegravir as PrEP in the Context of a Phase II Trial in the United States</w:t>
      </w:r>
      <w:r w:rsidRPr="00A67BB7">
        <w:rPr>
          <w:rFonts w:cstheme="minorHAnsi"/>
          <w:color w:val="212121"/>
          <w:shd w:val="clear" w:color="auto" w:fill="FFFFFF"/>
        </w:rPr>
        <w:t xml:space="preserve">. AIDS Behav. 2018 Nov;22(11):3540-3549. doi: 10.1007/s10461-017-2017-x. PMID: 29290075; PMCID: PMC6108948. </w:t>
      </w:r>
      <w:hyperlink r:id="rId17" w:history="1">
        <w:r w:rsidRPr="00A67BB7">
          <w:rPr>
            <w:rStyle w:val="Hyperlink"/>
            <w:rFonts w:cstheme="minorHAnsi"/>
            <w:shd w:val="clear" w:color="auto" w:fill="FFFFFF"/>
          </w:rPr>
          <w:t>https://pubmed.ncbi.nlm.nih.gov/29290075/</w:t>
        </w:r>
      </w:hyperlink>
      <w:r w:rsidRPr="00A67BB7">
        <w:rPr>
          <w:rFonts w:cstheme="minorHAnsi"/>
          <w:color w:val="212121"/>
          <w:shd w:val="clear" w:color="auto" w:fill="FFFFFF"/>
        </w:rPr>
        <w:t xml:space="preserve"> </w:t>
      </w:r>
    </w:p>
    <w:p w14:paraId="0CCB291A" w14:textId="6AB93B84" w:rsidR="00A67BB7" w:rsidRPr="00A67BB7" w:rsidRDefault="00A67BB7" w:rsidP="00A67BB7">
      <w:pPr>
        <w:rPr>
          <w:rFonts w:cstheme="minorHAnsi"/>
          <w:i/>
          <w:iCs/>
        </w:rPr>
      </w:pPr>
      <w:r w:rsidRPr="00A67BB7">
        <w:rPr>
          <w:rFonts w:cstheme="minorHAnsi"/>
        </w:rPr>
        <w:t>Landovitz RJ, Donnell D, Clement ME, et al</w:t>
      </w:r>
      <w:r w:rsidRPr="00A67BB7">
        <w:rPr>
          <w:rFonts w:cstheme="minorHAnsi"/>
          <w:i/>
          <w:iCs/>
        </w:rPr>
        <w:t>. Cabotegravir for HIV Prevention in Cisgender Men and Transgender Women.</w:t>
      </w:r>
      <w:r w:rsidRPr="00A67BB7">
        <w:rPr>
          <w:rFonts w:cstheme="minorHAnsi"/>
        </w:rPr>
        <w:t xml:space="preserve"> N Engl J Med. 2021 Aug 12;385(7):595-608. doi: 10.1056/NEJMoa2101016. PMID: 34379922; PMCID: PMC8448593. </w:t>
      </w:r>
      <w:hyperlink r:id="rId18" w:history="1">
        <w:r w:rsidRPr="00A67BB7">
          <w:rPr>
            <w:rStyle w:val="Hyperlink"/>
            <w:rFonts w:cstheme="minorHAnsi"/>
          </w:rPr>
          <w:t>https://pubmed.ncbi.nlm.nih.gov/34379922/</w:t>
        </w:r>
      </w:hyperlink>
      <w:r w:rsidRPr="00A67BB7">
        <w:rPr>
          <w:rFonts w:cstheme="minorHAnsi"/>
        </w:rPr>
        <w:t xml:space="preserve"> </w:t>
      </w:r>
    </w:p>
    <w:p w14:paraId="09E7D54E" w14:textId="77777777" w:rsidR="00A67BB7" w:rsidRPr="00A67BB7" w:rsidRDefault="00A67BB7" w:rsidP="00A67BB7">
      <w:pPr>
        <w:rPr>
          <w:rFonts w:cstheme="minorHAnsi"/>
          <w:color w:val="212121"/>
          <w:shd w:val="clear" w:color="auto" w:fill="FFFFFF"/>
        </w:rPr>
      </w:pPr>
      <w:r w:rsidRPr="00A67BB7">
        <w:rPr>
          <w:rFonts w:cstheme="minorHAnsi"/>
          <w:color w:val="212121"/>
          <w:shd w:val="clear" w:color="auto" w:fill="FFFFFF"/>
        </w:rPr>
        <w:lastRenderedPageBreak/>
        <w:t xml:space="preserve">Marzinke MA, Grinsztejn B, Fogel JM, Piwowar-Manning E, et al. </w:t>
      </w:r>
      <w:r w:rsidRPr="00A67BB7">
        <w:rPr>
          <w:rFonts w:cstheme="minorHAnsi"/>
          <w:i/>
          <w:iCs/>
          <w:color w:val="212121"/>
          <w:shd w:val="clear" w:color="auto" w:fill="FFFFFF"/>
        </w:rPr>
        <w:t>Characterization of Human Immunodeficiency Virus (HIV) Infection in Cisgender Men and Transgender Women Who Have Sex With Men Receiving Injectable Cabotegravir for HIV Prevention: HPTN 083</w:t>
      </w:r>
      <w:r w:rsidRPr="00A67BB7">
        <w:rPr>
          <w:rFonts w:cstheme="minorHAnsi"/>
          <w:color w:val="212121"/>
          <w:shd w:val="clear" w:color="auto" w:fill="FFFFFF"/>
        </w:rPr>
        <w:t xml:space="preserve">. J Infect Dis. 2021 Nov 16;224(9):1581-1592. doi: 10.1093/infdis/jiab152. PMID: 33740057; PMCID: PMC8599849. </w:t>
      </w:r>
      <w:hyperlink r:id="rId19" w:history="1">
        <w:r w:rsidRPr="00A67BB7">
          <w:rPr>
            <w:rStyle w:val="Hyperlink"/>
            <w:rFonts w:cstheme="minorHAnsi"/>
            <w:shd w:val="clear" w:color="auto" w:fill="FFFFFF"/>
          </w:rPr>
          <w:t>https://pubmed.ncbi.nlm.nih.gov/33740057/</w:t>
        </w:r>
      </w:hyperlink>
    </w:p>
    <w:p w14:paraId="4DE144D1" w14:textId="77777777" w:rsidR="00A67BB7" w:rsidRPr="00A67BB7" w:rsidRDefault="00A67BB7" w:rsidP="00A67BB7">
      <w:pPr>
        <w:rPr>
          <w:rFonts w:cstheme="minorHAnsi"/>
        </w:rPr>
      </w:pPr>
      <w:r w:rsidRPr="00A67BB7">
        <w:rPr>
          <w:rFonts w:cstheme="minorHAnsi"/>
          <w:color w:val="212121"/>
          <w:shd w:val="clear" w:color="auto" w:fill="FFFFFF"/>
        </w:rPr>
        <w:t xml:space="preserve">McPherson TD, Sobieszczyk ME, Markowitz M. </w:t>
      </w:r>
      <w:r w:rsidRPr="00A67BB7">
        <w:rPr>
          <w:rFonts w:cstheme="minorHAnsi"/>
          <w:i/>
          <w:iCs/>
          <w:color w:val="212121"/>
          <w:shd w:val="clear" w:color="auto" w:fill="FFFFFF"/>
        </w:rPr>
        <w:t>Cabotegravir in the treatment and prevention of Human Immunodeficiency Virus-1</w:t>
      </w:r>
      <w:r w:rsidRPr="00A67BB7">
        <w:rPr>
          <w:rFonts w:cstheme="minorHAnsi"/>
          <w:color w:val="212121"/>
          <w:shd w:val="clear" w:color="auto" w:fill="FFFFFF"/>
        </w:rPr>
        <w:t xml:space="preserve">. Expert Opin Investig Drugs. 2018 Apr;27(4):413-420. doi: 10.1080/13543784.2018.1460357. Epub 2018 Apr 10. PMID: 29633869. </w:t>
      </w:r>
      <w:hyperlink r:id="rId20" w:history="1">
        <w:r w:rsidRPr="00A67BB7">
          <w:rPr>
            <w:rStyle w:val="Hyperlink"/>
            <w:rFonts w:cstheme="minorHAnsi"/>
          </w:rPr>
          <w:t>https://pubmed.ncbi.nlm.nih.gov/29633869/</w:t>
        </w:r>
      </w:hyperlink>
      <w:r w:rsidRPr="00A67BB7">
        <w:rPr>
          <w:rFonts w:cstheme="minorHAnsi"/>
        </w:rPr>
        <w:t xml:space="preserve"> </w:t>
      </w:r>
    </w:p>
    <w:p w14:paraId="0B727926" w14:textId="07D9DC63" w:rsidR="004C01A1" w:rsidRPr="00A67BB7" w:rsidRDefault="00060C89" w:rsidP="004C01A1">
      <w:pPr>
        <w:rPr>
          <w:rFonts w:cstheme="minorHAnsi"/>
          <w:color w:val="212121"/>
        </w:rPr>
      </w:pPr>
      <w:r w:rsidRPr="00A67BB7">
        <w:rPr>
          <w:rStyle w:val="docsum-authors"/>
          <w:rFonts w:cstheme="minorHAnsi"/>
          <w:color w:val="212121"/>
        </w:rPr>
        <w:t>Murray MI, Markowitz M, Frank I,</w:t>
      </w:r>
      <w:r w:rsidR="00951C0E" w:rsidRPr="00A67BB7">
        <w:rPr>
          <w:rStyle w:val="docsum-authors"/>
          <w:rFonts w:cstheme="minorHAnsi"/>
          <w:color w:val="212121"/>
        </w:rPr>
        <w:t xml:space="preserve"> et al</w:t>
      </w:r>
      <w:r w:rsidR="004C01A1" w:rsidRPr="00A67BB7">
        <w:rPr>
          <w:rFonts w:cstheme="minorHAnsi"/>
          <w:color w:val="333333"/>
          <w:shd w:val="clear" w:color="auto" w:fill="FFFFFF"/>
        </w:rPr>
        <w:t> </w:t>
      </w:r>
      <w:r w:rsidR="004C01A1" w:rsidRPr="00A67BB7">
        <w:rPr>
          <w:rStyle w:val="Date1"/>
          <w:rFonts w:cstheme="minorHAnsi"/>
          <w:color w:val="333333"/>
          <w:shd w:val="clear" w:color="auto" w:fill="FFFFFF"/>
        </w:rPr>
        <w:t>(2018)</w:t>
      </w:r>
      <w:r w:rsidR="004C01A1" w:rsidRPr="00A67BB7">
        <w:rPr>
          <w:rFonts w:cstheme="minorHAnsi"/>
          <w:color w:val="333333"/>
          <w:shd w:val="clear" w:color="auto" w:fill="FFFFFF"/>
        </w:rPr>
        <w:t> </w:t>
      </w:r>
      <w:r w:rsidR="004C01A1" w:rsidRPr="00A67BB7">
        <w:rPr>
          <w:rStyle w:val="arttitle"/>
          <w:rFonts w:cstheme="minorHAnsi"/>
          <w:i/>
          <w:iCs/>
          <w:color w:val="333333"/>
          <w:shd w:val="clear" w:color="auto" w:fill="FFFFFF"/>
        </w:rPr>
        <w:t>Satisfaction and acceptability of cabotegravir long-acting injectable suspension for prevention of HIV: Patient perspectives from the ECLAIR trial</w:t>
      </w:r>
      <w:r w:rsidR="004C01A1" w:rsidRPr="00A67BB7">
        <w:rPr>
          <w:rStyle w:val="arttitle"/>
          <w:rFonts w:cstheme="minorHAnsi"/>
          <w:color w:val="333333"/>
          <w:shd w:val="clear" w:color="auto" w:fill="FFFFFF"/>
        </w:rPr>
        <w:t>,</w:t>
      </w:r>
      <w:r w:rsidR="004C01A1" w:rsidRPr="00A67BB7">
        <w:rPr>
          <w:rFonts w:cstheme="minorHAnsi"/>
          <w:color w:val="333333"/>
          <w:shd w:val="clear" w:color="auto" w:fill="FFFFFF"/>
        </w:rPr>
        <w:t> </w:t>
      </w:r>
      <w:r w:rsidR="004C01A1" w:rsidRPr="00A67BB7">
        <w:rPr>
          <w:rStyle w:val="serialtitle"/>
          <w:rFonts w:cstheme="minorHAnsi"/>
          <w:color w:val="333333"/>
          <w:shd w:val="clear" w:color="auto" w:fill="FFFFFF"/>
        </w:rPr>
        <w:t>HIV Clinical Trials,</w:t>
      </w:r>
      <w:r w:rsidR="004C01A1" w:rsidRPr="00A67BB7">
        <w:rPr>
          <w:rFonts w:cstheme="minorHAnsi"/>
          <w:color w:val="333333"/>
          <w:shd w:val="clear" w:color="auto" w:fill="FFFFFF"/>
        </w:rPr>
        <w:t> </w:t>
      </w:r>
      <w:r w:rsidR="004C01A1" w:rsidRPr="00A67BB7">
        <w:rPr>
          <w:rStyle w:val="volumeissue"/>
          <w:rFonts w:cstheme="minorHAnsi"/>
          <w:color w:val="333333"/>
          <w:shd w:val="clear" w:color="auto" w:fill="FFFFFF"/>
        </w:rPr>
        <w:t>19:4,</w:t>
      </w:r>
      <w:r w:rsidR="004C01A1" w:rsidRPr="00A67BB7">
        <w:rPr>
          <w:rFonts w:cstheme="minorHAnsi"/>
          <w:color w:val="333333"/>
          <w:shd w:val="clear" w:color="auto" w:fill="FFFFFF"/>
        </w:rPr>
        <w:t> </w:t>
      </w:r>
      <w:r w:rsidR="004C01A1" w:rsidRPr="00A67BB7">
        <w:rPr>
          <w:rStyle w:val="pagerange"/>
          <w:rFonts w:cstheme="minorHAnsi"/>
          <w:color w:val="333333"/>
          <w:shd w:val="clear" w:color="auto" w:fill="FFFFFF"/>
        </w:rPr>
        <w:t>129-138,</w:t>
      </w:r>
      <w:r w:rsidR="004C01A1" w:rsidRPr="00A67BB7">
        <w:rPr>
          <w:rFonts w:cstheme="minorHAnsi"/>
          <w:color w:val="333333"/>
          <w:shd w:val="clear" w:color="auto" w:fill="FFFFFF"/>
        </w:rPr>
        <w:t> </w:t>
      </w:r>
      <w:r w:rsidR="004C01A1" w:rsidRPr="00A67BB7">
        <w:rPr>
          <w:rStyle w:val="doilink"/>
          <w:rFonts w:cstheme="minorHAnsi"/>
          <w:color w:val="333333"/>
          <w:shd w:val="clear" w:color="auto" w:fill="FFFFFF"/>
        </w:rPr>
        <w:t>DOI: </w:t>
      </w:r>
      <w:hyperlink r:id="rId21" w:history="1">
        <w:r w:rsidR="004C01A1" w:rsidRPr="00A67BB7">
          <w:rPr>
            <w:rStyle w:val="Hyperlink"/>
            <w:rFonts w:cstheme="minorHAnsi"/>
            <w:color w:val="333333"/>
            <w:shd w:val="clear" w:color="auto" w:fill="FFFFFF"/>
          </w:rPr>
          <w:t>10.1080/15284336.2018.1511346</w:t>
        </w:r>
      </w:hyperlink>
      <w:r w:rsidR="004C01A1" w:rsidRPr="00A67BB7">
        <w:rPr>
          <w:rStyle w:val="doilink"/>
          <w:rFonts w:cstheme="minorHAnsi"/>
          <w:color w:val="333333"/>
          <w:shd w:val="clear" w:color="auto" w:fill="FFFFFF"/>
        </w:rPr>
        <w:t xml:space="preserve"> </w:t>
      </w:r>
      <w:hyperlink r:id="rId22" w:history="1">
        <w:r w:rsidR="004C01A1" w:rsidRPr="00A67BB7">
          <w:rPr>
            <w:rStyle w:val="Hyperlink"/>
            <w:rFonts w:cstheme="minorHAnsi"/>
          </w:rPr>
          <w:t>https://pubmed.ncbi.nlm.nih.gov/30445896/</w:t>
        </w:r>
      </w:hyperlink>
      <w:r w:rsidR="004C01A1" w:rsidRPr="00A67BB7">
        <w:rPr>
          <w:rStyle w:val="docsum-authors"/>
          <w:rFonts w:cstheme="minorHAnsi"/>
          <w:color w:val="212121"/>
        </w:rPr>
        <w:t xml:space="preserve"> </w:t>
      </w:r>
    </w:p>
    <w:p w14:paraId="1379433E" w14:textId="3223E00D" w:rsidR="004D34FD" w:rsidRPr="00A67BB7" w:rsidRDefault="00E77855">
      <w:pPr>
        <w:rPr>
          <w:rFonts w:cstheme="minorHAnsi"/>
          <w:color w:val="212121"/>
          <w:shd w:val="clear" w:color="auto" w:fill="FFFFFF"/>
        </w:rPr>
      </w:pPr>
      <w:r w:rsidRPr="00A67BB7">
        <w:rPr>
          <w:rFonts w:cstheme="minorHAnsi"/>
          <w:color w:val="212121"/>
          <w:shd w:val="clear" w:color="auto" w:fill="FFFFFF"/>
        </w:rPr>
        <w:t xml:space="preserve">Whitfield T, Torkington A, van Halsema C. Profile of cabotegravir and its potential in the treatment and prevention of HIV-1 infection: evidence to date. HIV AIDS (Auckl). 2016 Oct </w:t>
      </w:r>
      <w:proofErr w:type="gramStart"/>
      <w:r w:rsidRPr="00A67BB7">
        <w:rPr>
          <w:rFonts w:cstheme="minorHAnsi"/>
          <w:color w:val="212121"/>
          <w:shd w:val="clear" w:color="auto" w:fill="FFFFFF"/>
        </w:rPr>
        <w:t>14;8:157</w:t>
      </w:r>
      <w:proofErr w:type="gramEnd"/>
      <w:r w:rsidRPr="00A67BB7">
        <w:rPr>
          <w:rFonts w:cstheme="minorHAnsi"/>
          <w:color w:val="212121"/>
          <w:shd w:val="clear" w:color="auto" w:fill="FFFFFF"/>
        </w:rPr>
        <w:t>-164. doi: 10.2147/HIV.S97920. PMID: 27799824; PMCID: PMC5074732.</w:t>
      </w:r>
      <w:r w:rsidR="00D60435" w:rsidRPr="00A67BB7">
        <w:rPr>
          <w:rFonts w:cstheme="minorHAnsi"/>
          <w:color w:val="212121"/>
          <w:shd w:val="clear" w:color="auto" w:fill="FFFFFF"/>
        </w:rPr>
        <w:t xml:space="preserve"> </w:t>
      </w:r>
      <w:hyperlink r:id="rId23" w:history="1">
        <w:r w:rsidR="00D60435" w:rsidRPr="00A67BB7">
          <w:rPr>
            <w:rStyle w:val="Hyperlink"/>
            <w:rFonts w:cstheme="minorHAnsi"/>
            <w:shd w:val="clear" w:color="auto" w:fill="FFFFFF"/>
          </w:rPr>
          <w:t>https://pubmed.ncbi.nlm.nih.gov/27799824/</w:t>
        </w:r>
      </w:hyperlink>
      <w:r w:rsidR="00D60435" w:rsidRPr="00A67BB7">
        <w:rPr>
          <w:rFonts w:cstheme="minorHAnsi"/>
          <w:color w:val="212121"/>
          <w:shd w:val="clear" w:color="auto" w:fill="FFFFFF"/>
        </w:rPr>
        <w:t xml:space="preserve"> </w:t>
      </w:r>
    </w:p>
    <w:sectPr w:rsidR="004D34FD" w:rsidRPr="00A67B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E1D91" w14:textId="77777777" w:rsidR="00D83331" w:rsidRDefault="00D83331" w:rsidP="00A62DB0">
      <w:pPr>
        <w:spacing w:after="0" w:line="240" w:lineRule="auto"/>
      </w:pPr>
      <w:r>
        <w:separator/>
      </w:r>
    </w:p>
  </w:endnote>
  <w:endnote w:type="continuationSeparator" w:id="0">
    <w:p w14:paraId="59235975" w14:textId="77777777" w:rsidR="00D83331" w:rsidRDefault="00D83331" w:rsidP="00A62DB0">
      <w:pPr>
        <w:spacing w:after="0" w:line="240" w:lineRule="auto"/>
      </w:pPr>
      <w:r>
        <w:continuationSeparator/>
      </w:r>
    </w:p>
  </w:endnote>
  <w:endnote w:type="continuationNotice" w:id="1">
    <w:p w14:paraId="77391934" w14:textId="77777777" w:rsidR="00D83331" w:rsidRDefault="00D833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26F80" w14:textId="77777777" w:rsidR="00D83331" w:rsidRDefault="00D83331" w:rsidP="00A62DB0">
      <w:pPr>
        <w:spacing w:after="0" w:line="240" w:lineRule="auto"/>
      </w:pPr>
      <w:r>
        <w:separator/>
      </w:r>
    </w:p>
  </w:footnote>
  <w:footnote w:type="continuationSeparator" w:id="0">
    <w:p w14:paraId="1D65CA18" w14:textId="77777777" w:rsidR="00D83331" w:rsidRDefault="00D83331" w:rsidP="00A62DB0">
      <w:pPr>
        <w:spacing w:after="0" w:line="240" w:lineRule="auto"/>
      </w:pPr>
      <w:r>
        <w:continuationSeparator/>
      </w:r>
    </w:p>
  </w:footnote>
  <w:footnote w:type="continuationNotice" w:id="1">
    <w:p w14:paraId="4EB6EA6B" w14:textId="77777777" w:rsidR="00D83331" w:rsidRDefault="00D8333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D367A"/>
    <w:multiLevelType w:val="hybridMultilevel"/>
    <w:tmpl w:val="2136A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8611C7"/>
    <w:multiLevelType w:val="hybridMultilevel"/>
    <w:tmpl w:val="D2B28422"/>
    <w:lvl w:ilvl="0" w:tplc="4020628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48FF9C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8F8C55E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80878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0ECC248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D6A060B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014D22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384ECC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A2752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CE95A8E"/>
    <w:multiLevelType w:val="hybridMultilevel"/>
    <w:tmpl w:val="95EE5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316180"/>
    <w:multiLevelType w:val="hybridMultilevel"/>
    <w:tmpl w:val="86B41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7CB"/>
    <w:rsid w:val="000131FA"/>
    <w:rsid w:val="00024F4B"/>
    <w:rsid w:val="0003059D"/>
    <w:rsid w:val="000368A3"/>
    <w:rsid w:val="00043DF2"/>
    <w:rsid w:val="00060C89"/>
    <w:rsid w:val="000706C7"/>
    <w:rsid w:val="00072140"/>
    <w:rsid w:val="00082CB8"/>
    <w:rsid w:val="000A3467"/>
    <w:rsid w:val="000B47CB"/>
    <w:rsid w:val="000D034D"/>
    <w:rsid w:val="000D1417"/>
    <w:rsid w:val="000E02AC"/>
    <w:rsid w:val="00102B33"/>
    <w:rsid w:val="00145EE0"/>
    <w:rsid w:val="00181830"/>
    <w:rsid w:val="0018300D"/>
    <w:rsid w:val="00185ECE"/>
    <w:rsid w:val="001A4155"/>
    <w:rsid w:val="001B4A4B"/>
    <w:rsid w:val="001C693F"/>
    <w:rsid w:val="00203273"/>
    <w:rsid w:val="00223CA3"/>
    <w:rsid w:val="0025575D"/>
    <w:rsid w:val="00257665"/>
    <w:rsid w:val="00272221"/>
    <w:rsid w:val="00276396"/>
    <w:rsid w:val="00276450"/>
    <w:rsid w:val="00286C89"/>
    <w:rsid w:val="00291845"/>
    <w:rsid w:val="002B1E7C"/>
    <w:rsid w:val="002E2012"/>
    <w:rsid w:val="002E206D"/>
    <w:rsid w:val="002F640C"/>
    <w:rsid w:val="00301B00"/>
    <w:rsid w:val="003216DA"/>
    <w:rsid w:val="00326FC1"/>
    <w:rsid w:val="00332DCE"/>
    <w:rsid w:val="003357B7"/>
    <w:rsid w:val="003366D5"/>
    <w:rsid w:val="00347C3E"/>
    <w:rsid w:val="00351AD2"/>
    <w:rsid w:val="00352293"/>
    <w:rsid w:val="0035403D"/>
    <w:rsid w:val="00356076"/>
    <w:rsid w:val="003704AA"/>
    <w:rsid w:val="0037324E"/>
    <w:rsid w:val="0038205C"/>
    <w:rsid w:val="00386A99"/>
    <w:rsid w:val="003924F1"/>
    <w:rsid w:val="00392762"/>
    <w:rsid w:val="003B0EBD"/>
    <w:rsid w:val="003B3EB3"/>
    <w:rsid w:val="003C5B82"/>
    <w:rsid w:val="003C6EEE"/>
    <w:rsid w:val="003E012F"/>
    <w:rsid w:val="003E6B11"/>
    <w:rsid w:val="00421CD3"/>
    <w:rsid w:val="00431506"/>
    <w:rsid w:val="0044115F"/>
    <w:rsid w:val="00441BF6"/>
    <w:rsid w:val="004534BC"/>
    <w:rsid w:val="004535A5"/>
    <w:rsid w:val="00476FD7"/>
    <w:rsid w:val="0048698D"/>
    <w:rsid w:val="004A4800"/>
    <w:rsid w:val="004B349E"/>
    <w:rsid w:val="004C01A1"/>
    <w:rsid w:val="004C74B0"/>
    <w:rsid w:val="004D34FD"/>
    <w:rsid w:val="004D6F4C"/>
    <w:rsid w:val="004E13CD"/>
    <w:rsid w:val="004F456A"/>
    <w:rsid w:val="00501E9F"/>
    <w:rsid w:val="00504E8B"/>
    <w:rsid w:val="005210B8"/>
    <w:rsid w:val="00525799"/>
    <w:rsid w:val="00532F68"/>
    <w:rsid w:val="00534C85"/>
    <w:rsid w:val="00542D6E"/>
    <w:rsid w:val="00555ACD"/>
    <w:rsid w:val="00567CF2"/>
    <w:rsid w:val="00572DCC"/>
    <w:rsid w:val="0058076C"/>
    <w:rsid w:val="00593A43"/>
    <w:rsid w:val="005A7E2C"/>
    <w:rsid w:val="005D0B23"/>
    <w:rsid w:val="005E4497"/>
    <w:rsid w:val="005F35DF"/>
    <w:rsid w:val="005F778B"/>
    <w:rsid w:val="005F77EB"/>
    <w:rsid w:val="006211CB"/>
    <w:rsid w:val="00663FEF"/>
    <w:rsid w:val="006679EA"/>
    <w:rsid w:val="006735D1"/>
    <w:rsid w:val="00680479"/>
    <w:rsid w:val="006A5AEB"/>
    <w:rsid w:val="006C1294"/>
    <w:rsid w:val="006C2577"/>
    <w:rsid w:val="006C4AAC"/>
    <w:rsid w:val="006C51E7"/>
    <w:rsid w:val="006E2C53"/>
    <w:rsid w:val="006E4418"/>
    <w:rsid w:val="006F585A"/>
    <w:rsid w:val="006F7994"/>
    <w:rsid w:val="0070335F"/>
    <w:rsid w:val="00720AF2"/>
    <w:rsid w:val="00722973"/>
    <w:rsid w:val="00723EB8"/>
    <w:rsid w:val="00725D60"/>
    <w:rsid w:val="00730F7E"/>
    <w:rsid w:val="00735464"/>
    <w:rsid w:val="0073714B"/>
    <w:rsid w:val="00754CF0"/>
    <w:rsid w:val="00754FED"/>
    <w:rsid w:val="007557B1"/>
    <w:rsid w:val="00763ED3"/>
    <w:rsid w:val="00776B82"/>
    <w:rsid w:val="00787651"/>
    <w:rsid w:val="007A2721"/>
    <w:rsid w:val="007B6D55"/>
    <w:rsid w:val="007C541E"/>
    <w:rsid w:val="007E58EF"/>
    <w:rsid w:val="007F5982"/>
    <w:rsid w:val="00816BA0"/>
    <w:rsid w:val="008253ED"/>
    <w:rsid w:val="0082548F"/>
    <w:rsid w:val="00852F3B"/>
    <w:rsid w:val="00891AA1"/>
    <w:rsid w:val="00896535"/>
    <w:rsid w:val="0089750A"/>
    <w:rsid w:val="008A38E7"/>
    <w:rsid w:val="008B0206"/>
    <w:rsid w:val="008B7329"/>
    <w:rsid w:val="008C0596"/>
    <w:rsid w:val="008D30FE"/>
    <w:rsid w:val="008E1805"/>
    <w:rsid w:val="008E4C4C"/>
    <w:rsid w:val="00901DE2"/>
    <w:rsid w:val="0091621F"/>
    <w:rsid w:val="00924D53"/>
    <w:rsid w:val="00932DA2"/>
    <w:rsid w:val="00941084"/>
    <w:rsid w:val="00946FEB"/>
    <w:rsid w:val="00951C0E"/>
    <w:rsid w:val="00963353"/>
    <w:rsid w:val="00966067"/>
    <w:rsid w:val="0098410B"/>
    <w:rsid w:val="009951E6"/>
    <w:rsid w:val="00997236"/>
    <w:rsid w:val="00997F59"/>
    <w:rsid w:val="009A5C9C"/>
    <w:rsid w:val="009B5226"/>
    <w:rsid w:val="009E3EE7"/>
    <w:rsid w:val="009F467B"/>
    <w:rsid w:val="00A00141"/>
    <w:rsid w:val="00A10D08"/>
    <w:rsid w:val="00A30FDC"/>
    <w:rsid w:val="00A34A16"/>
    <w:rsid w:val="00A62DB0"/>
    <w:rsid w:val="00A64459"/>
    <w:rsid w:val="00A67BB7"/>
    <w:rsid w:val="00A7778A"/>
    <w:rsid w:val="00A80F5D"/>
    <w:rsid w:val="00AA399B"/>
    <w:rsid w:val="00AB07B1"/>
    <w:rsid w:val="00AB2E2B"/>
    <w:rsid w:val="00AB7BDE"/>
    <w:rsid w:val="00AC4A33"/>
    <w:rsid w:val="00AE3BA8"/>
    <w:rsid w:val="00AE7703"/>
    <w:rsid w:val="00AF42D1"/>
    <w:rsid w:val="00B12D3D"/>
    <w:rsid w:val="00B55C52"/>
    <w:rsid w:val="00B64C3E"/>
    <w:rsid w:val="00B667DC"/>
    <w:rsid w:val="00BA7392"/>
    <w:rsid w:val="00BC0914"/>
    <w:rsid w:val="00BC1040"/>
    <w:rsid w:val="00BC6A56"/>
    <w:rsid w:val="00BD3277"/>
    <w:rsid w:val="00BE6500"/>
    <w:rsid w:val="00BE7E71"/>
    <w:rsid w:val="00BF0207"/>
    <w:rsid w:val="00C03E6C"/>
    <w:rsid w:val="00C123B5"/>
    <w:rsid w:val="00C23963"/>
    <w:rsid w:val="00C2495C"/>
    <w:rsid w:val="00C25421"/>
    <w:rsid w:val="00C432C9"/>
    <w:rsid w:val="00C4779E"/>
    <w:rsid w:val="00C610FE"/>
    <w:rsid w:val="00C62FEF"/>
    <w:rsid w:val="00C63D7C"/>
    <w:rsid w:val="00C6617E"/>
    <w:rsid w:val="00C8151B"/>
    <w:rsid w:val="00C910D9"/>
    <w:rsid w:val="00C91C14"/>
    <w:rsid w:val="00CA1C36"/>
    <w:rsid w:val="00CA43B3"/>
    <w:rsid w:val="00CB19A5"/>
    <w:rsid w:val="00CC15D3"/>
    <w:rsid w:val="00CC4491"/>
    <w:rsid w:val="00CD061A"/>
    <w:rsid w:val="00CF3E91"/>
    <w:rsid w:val="00CF4C29"/>
    <w:rsid w:val="00D05D84"/>
    <w:rsid w:val="00D06F4E"/>
    <w:rsid w:val="00D109DF"/>
    <w:rsid w:val="00D12BD8"/>
    <w:rsid w:val="00D14CD7"/>
    <w:rsid w:val="00D17A69"/>
    <w:rsid w:val="00D34257"/>
    <w:rsid w:val="00D37D50"/>
    <w:rsid w:val="00D60435"/>
    <w:rsid w:val="00D60A9D"/>
    <w:rsid w:val="00D645F5"/>
    <w:rsid w:val="00D663DF"/>
    <w:rsid w:val="00D67037"/>
    <w:rsid w:val="00D818E3"/>
    <w:rsid w:val="00D8234E"/>
    <w:rsid w:val="00D83331"/>
    <w:rsid w:val="00D96131"/>
    <w:rsid w:val="00DA4134"/>
    <w:rsid w:val="00DB3755"/>
    <w:rsid w:val="00DD03B1"/>
    <w:rsid w:val="00DE6170"/>
    <w:rsid w:val="00E04F31"/>
    <w:rsid w:val="00E10D8B"/>
    <w:rsid w:val="00E30D5A"/>
    <w:rsid w:val="00E338C8"/>
    <w:rsid w:val="00E36AEF"/>
    <w:rsid w:val="00E449D3"/>
    <w:rsid w:val="00E50321"/>
    <w:rsid w:val="00E7091A"/>
    <w:rsid w:val="00E70FFC"/>
    <w:rsid w:val="00E71D30"/>
    <w:rsid w:val="00E765DA"/>
    <w:rsid w:val="00E77855"/>
    <w:rsid w:val="00E907F8"/>
    <w:rsid w:val="00E90C20"/>
    <w:rsid w:val="00E93F7A"/>
    <w:rsid w:val="00ED0010"/>
    <w:rsid w:val="00ED2A52"/>
    <w:rsid w:val="00EE138B"/>
    <w:rsid w:val="00F03599"/>
    <w:rsid w:val="00F053C0"/>
    <w:rsid w:val="00F06C49"/>
    <w:rsid w:val="00F07013"/>
    <w:rsid w:val="00F11431"/>
    <w:rsid w:val="00F208F2"/>
    <w:rsid w:val="00F36906"/>
    <w:rsid w:val="00F402B9"/>
    <w:rsid w:val="00F44E81"/>
    <w:rsid w:val="00F45F67"/>
    <w:rsid w:val="00F52D62"/>
    <w:rsid w:val="00F63815"/>
    <w:rsid w:val="00F66ADF"/>
    <w:rsid w:val="00F7441B"/>
    <w:rsid w:val="00F74689"/>
    <w:rsid w:val="00F77C07"/>
    <w:rsid w:val="00F82536"/>
    <w:rsid w:val="00F84E1E"/>
    <w:rsid w:val="00F9424E"/>
    <w:rsid w:val="00F95A59"/>
    <w:rsid w:val="00FA073D"/>
    <w:rsid w:val="00FA1A85"/>
    <w:rsid w:val="00FA4575"/>
    <w:rsid w:val="00FD5555"/>
    <w:rsid w:val="00FF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C36D466"/>
  <w15:chartTrackingRefBased/>
  <w15:docId w15:val="{99D4C777-2ADE-45CB-A83B-DFE2B4B4F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Dot pt,F5 List Paragraph,List Paragraph1,No Spacing1,List Paragraph Char Char Char,Indicator Text,Colorful List - Accent 11,Numbered Para 1,Bullet 1,Bullet Points,List Paragraph2,MAIN CONTENT,Normal numbered,OBC Bullet,Bullet Style,列出段落"/>
    <w:basedOn w:val="Normal"/>
    <w:link w:val="ListParagraphChar"/>
    <w:uiPriority w:val="34"/>
    <w:qFormat/>
    <w:rsid w:val="000B47CB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F053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F053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53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53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53C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053C0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unhideWhenUsed/>
    <w:rsid w:val="00A62DB0"/>
    <w:pPr>
      <w:spacing w:after="0" w:line="240" w:lineRule="auto"/>
    </w:pPr>
    <w:rPr>
      <w:rFonts w:eastAsiaTheme="minorEastAsia"/>
      <w:sz w:val="20"/>
      <w:szCs w:val="20"/>
      <w:lang w:val="en-GB" w:eastAsia="en-GB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62DB0"/>
    <w:rPr>
      <w:rFonts w:eastAsiaTheme="minorEastAsia"/>
      <w:sz w:val="20"/>
      <w:szCs w:val="20"/>
      <w:lang w:val="en-GB" w:eastAsia="en-GB"/>
    </w:rPr>
  </w:style>
  <w:style w:type="character" w:styleId="EndnoteReference">
    <w:name w:val="endnote reference"/>
    <w:basedOn w:val="DefaultParagraphFont"/>
    <w:uiPriority w:val="99"/>
    <w:unhideWhenUsed/>
    <w:rsid w:val="00A62DB0"/>
    <w:rPr>
      <w:vertAlign w:val="superscript"/>
    </w:rPr>
  </w:style>
  <w:style w:type="character" w:customStyle="1" w:styleId="ListParagraphChar">
    <w:name w:val="List Paragraph Char"/>
    <w:aliases w:val="Dot pt Char,F5 List Paragraph Char,List Paragraph1 Char,No Spacing1 Char,List Paragraph Char Char Char Char,Indicator Text Char,Colorful List - Accent 11 Char,Numbered Para 1 Char,Bullet 1 Char,Bullet Points Char,List Paragraph2 Char"/>
    <w:basedOn w:val="DefaultParagraphFont"/>
    <w:link w:val="ListParagraph"/>
    <w:uiPriority w:val="34"/>
    <w:qFormat/>
    <w:locked/>
    <w:rsid w:val="00A62DB0"/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9B5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5226"/>
  </w:style>
  <w:style w:type="paragraph" w:styleId="Footer">
    <w:name w:val="footer"/>
    <w:basedOn w:val="Normal"/>
    <w:link w:val="FooterChar"/>
    <w:uiPriority w:val="99"/>
    <w:unhideWhenUsed/>
    <w:rsid w:val="009B5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5226"/>
  </w:style>
  <w:style w:type="character" w:styleId="Hyperlink">
    <w:name w:val="Hyperlink"/>
    <w:basedOn w:val="DefaultParagraphFont"/>
    <w:uiPriority w:val="99"/>
    <w:unhideWhenUsed/>
    <w:rsid w:val="00F95A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5A5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6617E"/>
    <w:rPr>
      <w:color w:val="954F72" w:themeColor="followedHyperlink"/>
      <w:u w:val="single"/>
    </w:rPr>
  </w:style>
  <w:style w:type="character" w:customStyle="1" w:styleId="docsum-authors">
    <w:name w:val="docsum-authors"/>
    <w:basedOn w:val="DefaultParagraphFont"/>
    <w:rsid w:val="00060C89"/>
  </w:style>
  <w:style w:type="character" w:customStyle="1" w:styleId="authors">
    <w:name w:val="authors"/>
    <w:basedOn w:val="DefaultParagraphFont"/>
    <w:rsid w:val="004C01A1"/>
  </w:style>
  <w:style w:type="character" w:customStyle="1" w:styleId="Date1">
    <w:name w:val="Date1"/>
    <w:basedOn w:val="DefaultParagraphFont"/>
    <w:rsid w:val="004C01A1"/>
  </w:style>
  <w:style w:type="character" w:customStyle="1" w:styleId="arttitle">
    <w:name w:val="art_title"/>
    <w:basedOn w:val="DefaultParagraphFont"/>
    <w:rsid w:val="004C01A1"/>
  </w:style>
  <w:style w:type="character" w:customStyle="1" w:styleId="serialtitle">
    <w:name w:val="serial_title"/>
    <w:basedOn w:val="DefaultParagraphFont"/>
    <w:rsid w:val="004C01A1"/>
  </w:style>
  <w:style w:type="character" w:customStyle="1" w:styleId="volumeissue">
    <w:name w:val="volume_issue"/>
    <w:basedOn w:val="DefaultParagraphFont"/>
    <w:rsid w:val="004C01A1"/>
  </w:style>
  <w:style w:type="character" w:customStyle="1" w:styleId="pagerange">
    <w:name w:val="page_range"/>
    <w:basedOn w:val="DefaultParagraphFont"/>
    <w:rsid w:val="004C01A1"/>
  </w:style>
  <w:style w:type="character" w:customStyle="1" w:styleId="doilink">
    <w:name w:val="doi_link"/>
    <w:basedOn w:val="DefaultParagraphFont"/>
    <w:rsid w:val="004C01A1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10D8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10D8B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10D8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10D8B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3122">
          <w:marLeft w:val="0"/>
          <w:marRight w:val="0"/>
          <w:marTop w:val="0"/>
          <w:marBottom w:val="0"/>
          <w:divBdr>
            <w:top w:val="single" w:sz="6" w:space="0" w:color="5B616B"/>
            <w:left w:val="single" w:sz="6" w:space="0" w:color="5B616B"/>
            <w:bottom w:val="single" w:sz="6" w:space="0" w:color="5B616B"/>
            <w:right w:val="single" w:sz="6" w:space="0" w:color="5B616B"/>
          </w:divBdr>
        </w:div>
        <w:div w:id="154193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4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134509">
          <w:marLeft w:val="0"/>
          <w:marRight w:val="0"/>
          <w:marTop w:val="0"/>
          <w:marBottom w:val="0"/>
          <w:divBdr>
            <w:top w:val="single" w:sz="6" w:space="0" w:color="5B616B"/>
            <w:left w:val="single" w:sz="6" w:space="0" w:color="5B616B"/>
            <w:bottom w:val="single" w:sz="6" w:space="0" w:color="5B616B"/>
            <w:right w:val="single" w:sz="6" w:space="0" w:color="5B616B"/>
          </w:divBdr>
        </w:div>
        <w:div w:id="14274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1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ubmed.ncbi.nlm.nih.gov/32882042/" TargetMode="External"/><Relationship Id="rId18" Type="http://schemas.openxmlformats.org/officeDocument/2006/relationships/hyperlink" Target="https://pubmed.ncbi.nlm.nih.gov/34379922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doi.org/10.1080/15284336.2018.1511346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pubmed.ncbi.nlm.nih.gov/33112699/" TargetMode="External"/><Relationship Id="rId17" Type="http://schemas.openxmlformats.org/officeDocument/2006/relationships/hyperlink" Target="https://pubmed.ncbi.nlm.nih.gov/29290075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pubmed.ncbi.nlm.nih.gov/32592669/" TargetMode="External"/><Relationship Id="rId20" Type="http://schemas.openxmlformats.org/officeDocument/2006/relationships/hyperlink" Target="https://pubmed.ncbi.nlm.nih.gov/29633869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ubmed.ncbi.nlm.nih.gov/35378077/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pubmed.ncbi.nlm.nih.gov/35301540/" TargetMode="External"/><Relationship Id="rId23" Type="http://schemas.openxmlformats.org/officeDocument/2006/relationships/hyperlink" Target="https://pubmed.ncbi.nlm.nih.gov/27799824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pubmed.ncbi.nlm.nih.gov/33740057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ubmed.ncbi.nlm.nih.gov/34029457/" TargetMode="External"/><Relationship Id="rId22" Type="http://schemas.openxmlformats.org/officeDocument/2006/relationships/hyperlink" Target="https://pubmed.ncbi.nlm.nih.gov/3044589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ded51bb-dda7-4ccb-873c-bee5c6512ea7">
      <UserInfo>
        <DisplayName>Stefan Gramp</DisplayName>
        <AccountId>25</AccountId>
        <AccountType/>
      </UserInfo>
      <UserInfo>
        <DisplayName>Lo Oubre</DisplayName>
        <AccountId>314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FBCCF88B515047906702C174C72260" ma:contentTypeVersion="13" ma:contentTypeDescription="Create a new document." ma:contentTypeScope="" ma:versionID="1a43c097644015d8cf50bf78d26c56dd">
  <xsd:schema xmlns:xsd="http://www.w3.org/2001/XMLSchema" xmlns:xs="http://www.w3.org/2001/XMLSchema" xmlns:p="http://schemas.microsoft.com/office/2006/metadata/properties" xmlns:ns2="84d14ad0-6de7-4c24-accd-fac993930e34" xmlns:ns3="eded51bb-dda7-4ccb-873c-bee5c6512ea7" targetNamespace="http://schemas.microsoft.com/office/2006/metadata/properties" ma:root="true" ma:fieldsID="42bdeac7e019e60462e40ff1393c67fe" ns2:_="" ns3:_="">
    <xsd:import namespace="84d14ad0-6de7-4c24-accd-fac993930e34"/>
    <xsd:import namespace="eded51bb-dda7-4ccb-873c-bee5c6512e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14ad0-6de7-4c24-accd-fac993930e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d51bb-dda7-4ccb-873c-bee5c6512e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E5EA5A-37C4-4C2D-A420-E574829D694C}">
  <ds:schemaRefs>
    <ds:schemaRef ds:uri="http://schemas.microsoft.com/office/2006/metadata/properties"/>
    <ds:schemaRef ds:uri="http://schemas.microsoft.com/office/infopath/2007/PartnerControls"/>
    <ds:schemaRef ds:uri="eded51bb-dda7-4ccb-873c-bee5c6512ea7"/>
  </ds:schemaRefs>
</ds:datastoreItem>
</file>

<file path=customXml/itemProps2.xml><?xml version="1.0" encoding="utf-8"?>
<ds:datastoreItem xmlns:ds="http://schemas.openxmlformats.org/officeDocument/2006/customXml" ds:itemID="{0EDF8F67-7BDB-46D4-A29B-B937A18293B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0D6687-B3CD-443B-A75B-B4F3EAE917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6BE703-BDD1-41E2-8BDB-049A7E015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d14ad0-6de7-4c24-accd-fac993930e34"/>
    <ds:schemaRef ds:uri="eded51bb-dda7-4ccb-873c-bee5c6512e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1688</Words>
  <Characters>9627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Rinehart</dc:creator>
  <cp:keywords/>
  <dc:description/>
  <cp:lastModifiedBy>Bithiah Lafontant</cp:lastModifiedBy>
  <cp:revision>18</cp:revision>
  <dcterms:created xsi:type="dcterms:W3CDTF">2022-06-28T19:09:00Z</dcterms:created>
  <dcterms:modified xsi:type="dcterms:W3CDTF">2022-06-28T19:40:00Z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0x0101006AFBCCF88B515047906702C174C72260</vt:lpwstr>
  </property>
  <property fmtid="{D5CDD505-2E9C-101B-9397-08002B2CF9AE}" pid="3" name="ndDocumentId">
    <vt:lpwstr>4875-4952-0934</vt:lpwstr>
  </property>
</Properties>
</file>