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4BEA" w14:textId="77D5A65C" w:rsidR="00336EAA" w:rsidRPr="00D26C27" w:rsidRDefault="00EF0C73" w:rsidP="006D1DAE">
      <w:pPr>
        <w:spacing w:before="8" w:line="276" w:lineRule="auto"/>
        <w:ind w:left="720" w:right="1320"/>
        <w:rPr>
          <w:rFonts w:ascii="Times New Roman" w:eastAsia="Times New Roman" w:hAnsi="Times New Roman" w:cs="Times New Roman"/>
          <w:b/>
          <w:sz w:val="24"/>
          <w:szCs w:val="24"/>
        </w:rPr>
      </w:pPr>
      <w:proofErr w:type="spellStart"/>
      <w:r>
        <w:rPr>
          <w:rFonts w:ascii="Times New Roman" w:hAnsi="Times New Roman"/>
          <w:b/>
          <w:spacing w:val="-4"/>
          <w:sz w:val="24"/>
          <w:szCs w:val="24"/>
        </w:rPr>
        <w:t>Cibinqo</w:t>
      </w:r>
      <w:proofErr w:type="spellEnd"/>
      <w:r w:rsidR="00A37D88" w:rsidRPr="00697301">
        <w:rPr>
          <w:rFonts w:ascii="Times New Roman" w:hAnsi="Times New Roman"/>
          <w:b/>
          <w:spacing w:val="-4"/>
          <w:sz w:val="24"/>
          <w:szCs w:val="24"/>
        </w:rPr>
        <w:t>®</w:t>
      </w:r>
      <w:r w:rsidR="00A019DE" w:rsidRPr="00A019DE">
        <w:rPr>
          <w:rFonts w:ascii="Times New Roman" w:hAnsi="Times New Roman"/>
          <w:b/>
          <w:spacing w:val="-4"/>
          <w:sz w:val="24"/>
          <w:szCs w:val="24"/>
        </w:rPr>
        <w:t xml:space="preserve"> </w:t>
      </w:r>
      <w:r w:rsidR="00FE74E8">
        <w:rPr>
          <w:rFonts w:ascii="Times New Roman" w:hAnsi="Times New Roman"/>
          <w:b/>
          <w:spacing w:val="-4"/>
          <w:sz w:val="24"/>
          <w:szCs w:val="24"/>
        </w:rPr>
        <w:t>(</w:t>
      </w:r>
      <w:proofErr w:type="spellStart"/>
      <w:r w:rsidR="00E34D10">
        <w:rPr>
          <w:rFonts w:ascii="Times New Roman" w:hAnsi="Times New Roman"/>
          <w:b/>
          <w:spacing w:val="-4"/>
          <w:sz w:val="24"/>
          <w:szCs w:val="24"/>
        </w:rPr>
        <w:t>abrocitinib</w:t>
      </w:r>
      <w:proofErr w:type="spellEnd"/>
      <w:r w:rsidR="00A37D88" w:rsidRPr="00D26C27">
        <w:rPr>
          <w:rFonts w:ascii="Times New Roman" w:hAnsi="Times New Roman"/>
          <w:b/>
          <w:spacing w:val="1"/>
          <w:sz w:val="24"/>
          <w:szCs w:val="24"/>
        </w:rPr>
        <w:t>)</w:t>
      </w:r>
      <w:r w:rsidR="00A37D88" w:rsidRPr="00D26C27">
        <w:rPr>
          <w:rFonts w:ascii="Times New Roman" w:hAnsi="Times New Roman"/>
          <w:b/>
          <w:spacing w:val="6"/>
          <w:sz w:val="24"/>
          <w:szCs w:val="24"/>
        </w:rPr>
        <w:t xml:space="preserve"> </w:t>
      </w:r>
    </w:p>
    <w:p w14:paraId="2F962414" w14:textId="77777777" w:rsidR="00336EAA" w:rsidRPr="00697301" w:rsidRDefault="00A37D88" w:rsidP="006D1DAE">
      <w:pPr>
        <w:pStyle w:val="Heading1"/>
        <w:spacing w:before="367" w:line="276" w:lineRule="auto"/>
        <w:ind w:left="720" w:right="1320"/>
        <w:rPr>
          <w:b w:val="0"/>
          <w:bCs w:val="0"/>
          <w:sz w:val="24"/>
          <w:szCs w:val="24"/>
        </w:rPr>
      </w:pPr>
      <w:r w:rsidRPr="00697301">
        <w:rPr>
          <w:sz w:val="24"/>
          <w:szCs w:val="24"/>
        </w:rPr>
        <w:t>Category</w:t>
      </w:r>
    </w:p>
    <w:p w14:paraId="2DF2E577" w14:textId="76C3110D" w:rsidR="00336EAA" w:rsidRPr="00697301" w:rsidRDefault="00A37D88" w:rsidP="006D1DAE">
      <w:pPr>
        <w:pStyle w:val="BodyText"/>
        <w:spacing w:before="324" w:line="276" w:lineRule="auto"/>
        <w:ind w:left="720" w:right="1320"/>
        <w:rPr>
          <w:sz w:val="24"/>
          <w:szCs w:val="24"/>
        </w:rPr>
      </w:pPr>
      <w:r w:rsidRPr="00697301">
        <w:rPr>
          <w:spacing w:val="-1"/>
          <w:sz w:val="24"/>
          <w:szCs w:val="24"/>
        </w:rPr>
        <w:t>Best</w:t>
      </w:r>
      <w:r w:rsidRPr="00697301">
        <w:rPr>
          <w:spacing w:val="22"/>
          <w:sz w:val="24"/>
          <w:szCs w:val="24"/>
        </w:rPr>
        <w:t xml:space="preserve"> </w:t>
      </w:r>
      <w:r w:rsidR="00A019DE">
        <w:rPr>
          <w:spacing w:val="-3"/>
          <w:sz w:val="24"/>
          <w:szCs w:val="24"/>
        </w:rPr>
        <w:t>Pharmaceutical</w:t>
      </w:r>
      <w:r w:rsidRPr="00697301">
        <w:rPr>
          <w:spacing w:val="22"/>
          <w:sz w:val="24"/>
          <w:szCs w:val="24"/>
        </w:rPr>
        <w:t xml:space="preserve"> </w:t>
      </w:r>
      <w:r w:rsidRPr="00697301">
        <w:rPr>
          <w:sz w:val="24"/>
          <w:szCs w:val="24"/>
        </w:rPr>
        <w:t>Agent</w:t>
      </w:r>
    </w:p>
    <w:p w14:paraId="5A59C3AC" w14:textId="77777777" w:rsidR="00336EAA" w:rsidRPr="00697301" w:rsidRDefault="00336EAA" w:rsidP="006D1DAE">
      <w:pPr>
        <w:spacing w:before="7" w:line="276" w:lineRule="auto"/>
        <w:ind w:left="720" w:right="1320"/>
        <w:rPr>
          <w:sz w:val="24"/>
          <w:szCs w:val="24"/>
        </w:rPr>
      </w:pPr>
    </w:p>
    <w:p w14:paraId="40B4753A"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Drug</w:t>
      </w:r>
      <w:r w:rsidRPr="00697301">
        <w:rPr>
          <w:spacing w:val="12"/>
          <w:sz w:val="24"/>
          <w:szCs w:val="24"/>
        </w:rPr>
        <w:t xml:space="preserve"> </w:t>
      </w:r>
      <w:r w:rsidR="00653C3C" w:rsidRPr="00697301">
        <w:rPr>
          <w:spacing w:val="1"/>
          <w:sz w:val="24"/>
          <w:szCs w:val="24"/>
        </w:rPr>
        <w:t>or</w:t>
      </w:r>
      <w:r w:rsidRPr="00697301">
        <w:rPr>
          <w:spacing w:val="17"/>
          <w:sz w:val="24"/>
          <w:szCs w:val="24"/>
        </w:rPr>
        <w:t xml:space="preserve"> </w:t>
      </w:r>
      <w:r w:rsidRPr="00697301">
        <w:rPr>
          <w:spacing w:val="1"/>
          <w:sz w:val="24"/>
          <w:szCs w:val="24"/>
        </w:rPr>
        <w:t>Device</w:t>
      </w:r>
      <w:r w:rsidRPr="00697301">
        <w:rPr>
          <w:spacing w:val="18"/>
          <w:sz w:val="24"/>
          <w:szCs w:val="24"/>
        </w:rPr>
        <w:t xml:space="preserve"> </w:t>
      </w:r>
      <w:r w:rsidRPr="00697301">
        <w:rPr>
          <w:spacing w:val="-2"/>
          <w:sz w:val="24"/>
          <w:szCs w:val="24"/>
        </w:rPr>
        <w:t>Name</w:t>
      </w:r>
    </w:p>
    <w:p w14:paraId="66020071" w14:textId="77777777" w:rsidR="00A7400D" w:rsidRPr="00697301" w:rsidRDefault="00A7400D" w:rsidP="006D1DAE">
      <w:pPr>
        <w:spacing w:before="8" w:line="276" w:lineRule="auto"/>
        <w:ind w:left="720" w:right="1320"/>
        <w:rPr>
          <w:rFonts w:ascii="Times New Roman" w:hAnsi="Times New Roman"/>
          <w:b/>
          <w:spacing w:val="-4"/>
          <w:sz w:val="24"/>
          <w:szCs w:val="24"/>
        </w:rPr>
      </w:pPr>
    </w:p>
    <w:p w14:paraId="785D80C3" w14:textId="1C5D7F25" w:rsidR="003B291A" w:rsidRPr="003B291A" w:rsidRDefault="003B291A" w:rsidP="003B291A">
      <w:pPr>
        <w:spacing w:before="8" w:line="276" w:lineRule="auto"/>
        <w:ind w:left="720" w:right="1320"/>
        <w:rPr>
          <w:rFonts w:ascii="Times New Roman" w:eastAsia="Times New Roman" w:hAnsi="Times New Roman" w:cs="Times New Roman"/>
          <w:bCs/>
          <w:sz w:val="24"/>
          <w:szCs w:val="24"/>
        </w:rPr>
      </w:pPr>
      <w:proofErr w:type="spellStart"/>
      <w:r w:rsidRPr="003B291A">
        <w:rPr>
          <w:rFonts w:ascii="Times New Roman" w:hAnsi="Times New Roman"/>
          <w:bCs/>
          <w:spacing w:val="-4"/>
          <w:sz w:val="24"/>
          <w:szCs w:val="24"/>
        </w:rPr>
        <w:t>Cibinqo</w:t>
      </w:r>
      <w:proofErr w:type="spellEnd"/>
      <w:r w:rsidRPr="003B291A">
        <w:rPr>
          <w:rFonts w:ascii="Times New Roman" w:hAnsi="Times New Roman"/>
          <w:bCs/>
          <w:spacing w:val="-4"/>
          <w:sz w:val="24"/>
          <w:szCs w:val="24"/>
        </w:rPr>
        <w:t xml:space="preserve">® </w:t>
      </w:r>
    </w:p>
    <w:p w14:paraId="77FCA28A" w14:textId="77777777" w:rsidR="00336EAA" w:rsidRPr="00697301" w:rsidRDefault="00336EAA" w:rsidP="006D1DAE">
      <w:pPr>
        <w:spacing w:before="7" w:line="276" w:lineRule="auto"/>
        <w:ind w:left="720" w:right="1320"/>
        <w:rPr>
          <w:sz w:val="24"/>
          <w:szCs w:val="24"/>
        </w:rPr>
      </w:pPr>
    </w:p>
    <w:p w14:paraId="31F49021" w14:textId="77777777" w:rsidR="00336EAA" w:rsidRPr="00697301" w:rsidRDefault="00A37D88" w:rsidP="006D1DAE">
      <w:pPr>
        <w:pStyle w:val="Heading1"/>
        <w:spacing w:line="276" w:lineRule="auto"/>
        <w:ind w:left="720" w:right="1320"/>
        <w:rPr>
          <w:b w:val="0"/>
          <w:bCs w:val="0"/>
          <w:sz w:val="24"/>
          <w:szCs w:val="24"/>
        </w:rPr>
      </w:pPr>
      <w:r w:rsidRPr="00697301">
        <w:rPr>
          <w:spacing w:val="-3"/>
          <w:sz w:val="24"/>
          <w:szCs w:val="24"/>
        </w:rPr>
        <w:t>Compound</w:t>
      </w:r>
      <w:r w:rsidRPr="00697301">
        <w:rPr>
          <w:spacing w:val="14"/>
          <w:sz w:val="24"/>
          <w:szCs w:val="24"/>
        </w:rPr>
        <w:t xml:space="preserve"> </w:t>
      </w:r>
      <w:r w:rsidRPr="00697301">
        <w:rPr>
          <w:sz w:val="24"/>
          <w:szCs w:val="24"/>
        </w:rPr>
        <w:t>Technical</w:t>
      </w:r>
      <w:r w:rsidRPr="00697301">
        <w:rPr>
          <w:spacing w:val="28"/>
          <w:sz w:val="24"/>
          <w:szCs w:val="24"/>
        </w:rPr>
        <w:t xml:space="preserve"> </w:t>
      </w:r>
      <w:r w:rsidRPr="00697301">
        <w:rPr>
          <w:spacing w:val="-2"/>
          <w:sz w:val="24"/>
          <w:szCs w:val="24"/>
        </w:rPr>
        <w:t>Name</w:t>
      </w:r>
    </w:p>
    <w:p w14:paraId="0E4A0F8B" w14:textId="77777777" w:rsidR="00913553" w:rsidRDefault="00913553" w:rsidP="006D1DAE">
      <w:pPr>
        <w:spacing w:before="7" w:line="276" w:lineRule="auto"/>
        <w:ind w:left="720" w:right="1320"/>
        <w:rPr>
          <w:rFonts w:ascii="Times New Roman" w:hAnsi="Times New Roman"/>
          <w:spacing w:val="1"/>
          <w:sz w:val="24"/>
          <w:szCs w:val="24"/>
        </w:rPr>
      </w:pPr>
    </w:p>
    <w:p w14:paraId="06A01443" w14:textId="6B40388D" w:rsidR="00913553" w:rsidRPr="00A019DE" w:rsidRDefault="00E34D10" w:rsidP="006D1DAE">
      <w:pPr>
        <w:spacing w:before="7" w:line="276" w:lineRule="auto"/>
        <w:ind w:left="720" w:right="1320"/>
        <w:rPr>
          <w:rFonts w:ascii="Times New Roman" w:hAnsi="Times New Roman"/>
          <w:bCs/>
          <w:spacing w:val="1"/>
          <w:sz w:val="24"/>
          <w:szCs w:val="24"/>
        </w:rPr>
      </w:pPr>
      <w:r>
        <w:rPr>
          <w:rFonts w:ascii="Times New Roman" w:hAnsi="Times New Roman"/>
          <w:bCs/>
          <w:spacing w:val="1"/>
          <w:sz w:val="24"/>
          <w:szCs w:val="24"/>
        </w:rPr>
        <w:t>abrocitinib</w:t>
      </w:r>
    </w:p>
    <w:p w14:paraId="0D2F8C1E" w14:textId="77777777" w:rsidR="00A019DE" w:rsidRPr="00697301" w:rsidRDefault="00A019DE" w:rsidP="006D1DAE">
      <w:pPr>
        <w:spacing w:before="7" w:line="276" w:lineRule="auto"/>
        <w:ind w:left="720" w:right="1320"/>
        <w:rPr>
          <w:sz w:val="24"/>
          <w:szCs w:val="24"/>
        </w:rPr>
      </w:pPr>
    </w:p>
    <w:p w14:paraId="4636057D" w14:textId="77777777" w:rsidR="00336EAA" w:rsidRPr="00697301" w:rsidRDefault="00A37D88" w:rsidP="006D1DAE">
      <w:pPr>
        <w:pStyle w:val="Heading1"/>
        <w:spacing w:line="276" w:lineRule="auto"/>
        <w:ind w:left="720" w:right="1320"/>
        <w:rPr>
          <w:spacing w:val="-2"/>
          <w:sz w:val="24"/>
          <w:szCs w:val="24"/>
        </w:rPr>
      </w:pPr>
      <w:r w:rsidRPr="00697301">
        <w:rPr>
          <w:spacing w:val="-1"/>
          <w:sz w:val="24"/>
          <w:szCs w:val="24"/>
        </w:rPr>
        <w:t>Trade</w:t>
      </w:r>
      <w:r w:rsidRPr="00697301">
        <w:rPr>
          <w:spacing w:val="25"/>
          <w:sz w:val="24"/>
          <w:szCs w:val="24"/>
        </w:rPr>
        <w:t xml:space="preserve"> </w:t>
      </w:r>
      <w:r w:rsidRPr="00697301">
        <w:rPr>
          <w:spacing w:val="-2"/>
          <w:sz w:val="24"/>
          <w:szCs w:val="24"/>
        </w:rPr>
        <w:t>Name</w:t>
      </w:r>
    </w:p>
    <w:p w14:paraId="217D5A43" w14:textId="77777777" w:rsidR="00A7400D" w:rsidRPr="00697301" w:rsidRDefault="00A7400D" w:rsidP="006D1DAE">
      <w:pPr>
        <w:pStyle w:val="Heading1"/>
        <w:spacing w:line="276" w:lineRule="auto"/>
        <w:ind w:left="720" w:right="1320"/>
        <w:rPr>
          <w:b w:val="0"/>
          <w:bCs w:val="0"/>
          <w:sz w:val="24"/>
          <w:szCs w:val="24"/>
        </w:rPr>
      </w:pPr>
    </w:p>
    <w:p w14:paraId="5E356886" w14:textId="60774EEA" w:rsidR="003B291A" w:rsidRPr="003B291A" w:rsidRDefault="003B291A" w:rsidP="003B291A">
      <w:pPr>
        <w:spacing w:before="8" w:line="276" w:lineRule="auto"/>
        <w:ind w:left="720" w:right="1320"/>
        <w:rPr>
          <w:rFonts w:ascii="Times New Roman" w:eastAsia="Times New Roman" w:hAnsi="Times New Roman" w:cs="Times New Roman"/>
          <w:bCs/>
          <w:sz w:val="24"/>
          <w:szCs w:val="24"/>
        </w:rPr>
      </w:pPr>
      <w:proofErr w:type="spellStart"/>
      <w:r w:rsidRPr="003B291A">
        <w:rPr>
          <w:rFonts w:ascii="Times New Roman" w:hAnsi="Times New Roman"/>
          <w:bCs/>
          <w:spacing w:val="-4"/>
          <w:sz w:val="24"/>
          <w:szCs w:val="24"/>
        </w:rPr>
        <w:t>Cibinqo</w:t>
      </w:r>
      <w:proofErr w:type="spellEnd"/>
      <w:r w:rsidRPr="003B291A">
        <w:rPr>
          <w:rFonts w:ascii="Times New Roman" w:hAnsi="Times New Roman"/>
          <w:bCs/>
          <w:spacing w:val="-4"/>
          <w:sz w:val="24"/>
          <w:szCs w:val="24"/>
        </w:rPr>
        <w:t xml:space="preserve">® </w:t>
      </w:r>
    </w:p>
    <w:p w14:paraId="5384E69E" w14:textId="77777777" w:rsidR="00913553" w:rsidRPr="00697301" w:rsidRDefault="00913553" w:rsidP="006D1DAE">
      <w:pPr>
        <w:spacing w:before="7" w:line="276" w:lineRule="auto"/>
        <w:ind w:left="720" w:right="1320"/>
        <w:rPr>
          <w:sz w:val="24"/>
          <w:szCs w:val="24"/>
        </w:rPr>
      </w:pPr>
    </w:p>
    <w:p w14:paraId="2C901A69"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Date</w:t>
      </w:r>
      <w:r w:rsidRPr="00697301">
        <w:rPr>
          <w:spacing w:val="20"/>
          <w:sz w:val="24"/>
          <w:szCs w:val="24"/>
        </w:rPr>
        <w:t xml:space="preserve"> </w:t>
      </w:r>
      <w:r w:rsidR="009106E7" w:rsidRPr="00697301">
        <w:rPr>
          <w:spacing w:val="1"/>
          <w:sz w:val="24"/>
          <w:szCs w:val="24"/>
        </w:rPr>
        <w:t>o</w:t>
      </w:r>
      <w:r w:rsidRPr="00697301">
        <w:rPr>
          <w:spacing w:val="1"/>
          <w:sz w:val="24"/>
          <w:szCs w:val="24"/>
        </w:rPr>
        <w:t>f</w:t>
      </w:r>
      <w:r w:rsidRPr="00697301">
        <w:rPr>
          <w:spacing w:val="15"/>
          <w:sz w:val="24"/>
          <w:szCs w:val="24"/>
        </w:rPr>
        <w:t xml:space="preserve"> </w:t>
      </w:r>
      <w:r w:rsidRPr="00697301">
        <w:rPr>
          <w:spacing w:val="-2"/>
          <w:sz w:val="24"/>
          <w:szCs w:val="24"/>
        </w:rPr>
        <w:t>Approval</w:t>
      </w:r>
    </w:p>
    <w:p w14:paraId="2F51EDE9" w14:textId="4C8CA028" w:rsidR="00336EAA" w:rsidRPr="00697301" w:rsidRDefault="00007A73" w:rsidP="00007A73">
      <w:pPr>
        <w:pStyle w:val="BodyText"/>
        <w:spacing w:before="324" w:line="276" w:lineRule="auto"/>
        <w:ind w:left="720" w:right="1320"/>
        <w:rPr>
          <w:sz w:val="24"/>
          <w:szCs w:val="24"/>
        </w:rPr>
      </w:pPr>
      <w:r>
        <w:rPr>
          <w:spacing w:val="-2"/>
          <w:sz w:val="24"/>
          <w:szCs w:val="24"/>
        </w:rPr>
        <w:t xml:space="preserve">January 14, </w:t>
      </w:r>
      <w:r w:rsidR="006A56FB">
        <w:rPr>
          <w:spacing w:val="-2"/>
          <w:sz w:val="24"/>
          <w:szCs w:val="24"/>
        </w:rPr>
        <w:t>2022</w:t>
      </w:r>
    </w:p>
    <w:p w14:paraId="7520CD39" w14:textId="77777777" w:rsidR="00336EAA" w:rsidRPr="00697301" w:rsidRDefault="00336EAA" w:rsidP="006D1DAE">
      <w:pPr>
        <w:spacing w:before="7" w:line="276" w:lineRule="auto"/>
        <w:ind w:left="720" w:right="1320"/>
        <w:rPr>
          <w:sz w:val="24"/>
          <w:szCs w:val="24"/>
        </w:rPr>
      </w:pPr>
    </w:p>
    <w:p w14:paraId="066DEBC9" w14:textId="77777777" w:rsidR="00336EAA" w:rsidRPr="00697301" w:rsidRDefault="00A37D88" w:rsidP="006D1DAE">
      <w:pPr>
        <w:pStyle w:val="Heading1"/>
        <w:spacing w:line="276" w:lineRule="auto"/>
        <w:ind w:left="720" w:right="1320"/>
        <w:rPr>
          <w:b w:val="0"/>
          <w:bCs w:val="0"/>
          <w:sz w:val="24"/>
          <w:szCs w:val="24"/>
        </w:rPr>
      </w:pPr>
      <w:r w:rsidRPr="00697301">
        <w:rPr>
          <w:sz w:val="24"/>
          <w:szCs w:val="24"/>
        </w:rPr>
        <w:t>Therapeutic</w:t>
      </w:r>
      <w:r w:rsidRPr="00697301">
        <w:rPr>
          <w:spacing w:val="41"/>
          <w:sz w:val="24"/>
          <w:szCs w:val="24"/>
        </w:rPr>
        <w:t xml:space="preserve"> </w:t>
      </w:r>
      <w:r w:rsidRPr="00697301">
        <w:rPr>
          <w:spacing w:val="1"/>
          <w:sz w:val="24"/>
          <w:szCs w:val="24"/>
        </w:rPr>
        <w:t>Categories</w:t>
      </w:r>
    </w:p>
    <w:p w14:paraId="41FB3D09" w14:textId="4C0E695B" w:rsidR="00336EAA" w:rsidRPr="00913553" w:rsidRDefault="003B291A" w:rsidP="006D1DAE">
      <w:pPr>
        <w:pStyle w:val="BodyText"/>
        <w:spacing w:before="324" w:line="276" w:lineRule="auto"/>
        <w:ind w:left="720" w:right="1320"/>
        <w:rPr>
          <w:rFonts w:cs="Times New Roman"/>
          <w:sz w:val="24"/>
          <w:szCs w:val="24"/>
        </w:rPr>
      </w:pPr>
      <w:r>
        <w:rPr>
          <w:rFonts w:cs="Times New Roman"/>
          <w:spacing w:val="-4"/>
          <w:sz w:val="24"/>
          <w:szCs w:val="24"/>
        </w:rPr>
        <w:t>Dermatology, Inflammation</w:t>
      </w:r>
    </w:p>
    <w:p w14:paraId="5E6152E4" w14:textId="77777777" w:rsidR="00336EAA" w:rsidRPr="00697301" w:rsidRDefault="00336EAA" w:rsidP="006D1DAE">
      <w:pPr>
        <w:spacing w:before="7" w:line="276" w:lineRule="auto"/>
        <w:ind w:left="720" w:right="1320"/>
        <w:rPr>
          <w:sz w:val="24"/>
          <w:szCs w:val="24"/>
        </w:rPr>
      </w:pPr>
    </w:p>
    <w:p w14:paraId="56B5DFC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Indications</w:t>
      </w:r>
    </w:p>
    <w:p w14:paraId="1A55AA4F" w14:textId="77777777" w:rsidR="00A7400D" w:rsidRPr="00A019DE" w:rsidRDefault="00A7400D" w:rsidP="006D1DAE">
      <w:pPr>
        <w:spacing w:before="7" w:line="276" w:lineRule="auto"/>
        <w:ind w:left="720" w:right="1320"/>
        <w:rPr>
          <w:rFonts w:ascii="Times New Roman" w:eastAsia="Times New Roman" w:hAnsi="Times New Roman" w:cs="Times New Roman"/>
          <w:spacing w:val="4"/>
          <w:sz w:val="24"/>
          <w:szCs w:val="24"/>
        </w:rPr>
      </w:pPr>
    </w:p>
    <w:p w14:paraId="6EF99D09" w14:textId="77777777" w:rsidR="006A56FB" w:rsidRPr="00331DBD" w:rsidRDefault="006A56FB" w:rsidP="00D26C27">
      <w:pPr>
        <w:spacing w:before="7" w:line="276" w:lineRule="auto"/>
        <w:ind w:left="720" w:right="1320"/>
        <w:rPr>
          <w:rFonts w:ascii="Times New Roman" w:hAnsi="Times New Roman" w:cs="Times New Roman"/>
          <w:sz w:val="24"/>
          <w:szCs w:val="24"/>
        </w:rPr>
      </w:pPr>
      <w:r w:rsidRPr="00331DBD">
        <w:rPr>
          <w:rFonts w:ascii="Times New Roman" w:hAnsi="Times New Roman" w:cs="Times New Roman"/>
          <w:sz w:val="24"/>
          <w:szCs w:val="24"/>
        </w:rPr>
        <w:t xml:space="preserve">CIBINQO is a Janus kinase (JAK) inhibitor indicated for the treatment of adults with refractory, moderate-to-severe atopic dermatitis whose disease is not adequately controlled with other systemic drug products, including biologics, or when use of those therapies is inadvisable. </w:t>
      </w:r>
    </w:p>
    <w:p w14:paraId="1B54519B" w14:textId="77777777" w:rsidR="006A56FB" w:rsidRPr="00331DBD" w:rsidRDefault="006A56FB" w:rsidP="00D26C27">
      <w:pPr>
        <w:spacing w:before="7" w:line="276" w:lineRule="auto"/>
        <w:ind w:left="720" w:right="1320"/>
        <w:rPr>
          <w:rFonts w:ascii="Times New Roman" w:hAnsi="Times New Roman" w:cs="Times New Roman"/>
          <w:sz w:val="24"/>
          <w:szCs w:val="24"/>
        </w:rPr>
      </w:pPr>
    </w:p>
    <w:p w14:paraId="3DBEEBAE" w14:textId="54068F46" w:rsidR="00521BD0" w:rsidRPr="00331DBD" w:rsidRDefault="006A56FB" w:rsidP="00D26C27">
      <w:pPr>
        <w:spacing w:before="7" w:line="276" w:lineRule="auto"/>
        <w:ind w:left="720" w:right="1320"/>
        <w:rPr>
          <w:rFonts w:ascii="Times New Roman" w:hAnsi="Times New Roman" w:cs="Times New Roman"/>
          <w:sz w:val="24"/>
          <w:szCs w:val="24"/>
        </w:rPr>
      </w:pPr>
      <w:r w:rsidRPr="00331DBD">
        <w:rPr>
          <w:rFonts w:ascii="Times New Roman" w:hAnsi="Times New Roman" w:cs="Times New Roman"/>
          <w:sz w:val="24"/>
          <w:szCs w:val="24"/>
        </w:rPr>
        <w:t xml:space="preserve">Limitation of Use: CIBINQO is not recommended for use in combination with other JAK inhibitors, </w:t>
      </w:r>
      <w:r w:rsidR="00331DBD" w:rsidRPr="00331DBD">
        <w:rPr>
          <w:rFonts w:ascii="Times New Roman" w:hAnsi="Times New Roman" w:cs="Times New Roman"/>
          <w:sz w:val="24"/>
          <w:szCs w:val="24"/>
        </w:rPr>
        <w:t>biologic immunomodulators, or with other immunosuppressants.</w:t>
      </w:r>
    </w:p>
    <w:p w14:paraId="1AB34B8C" w14:textId="77777777" w:rsidR="00331DBD" w:rsidRPr="00A019DE" w:rsidRDefault="00331DBD" w:rsidP="00D26C27">
      <w:pPr>
        <w:spacing w:before="7" w:line="276" w:lineRule="auto"/>
        <w:ind w:left="720" w:right="1320"/>
        <w:rPr>
          <w:rFonts w:ascii="Times New Roman" w:hAnsi="Times New Roman" w:cs="Times New Roman"/>
          <w:spacing w:val="-4"/>
          <w:sz w:val="24"/>
          <w:szCs w:val="24"/>
        </w:rPr>
      </w:pPr>
    </w:p>
    <w:p w14:paraId="2B08A57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Background</w:t>
      </w:r>
    </w:p>
    <w:p w14:paraId="05BF73FC" w14:textId="77777777" w:rsidR="00572A23" w:rsidRPr="00697301" w:rsidRDefault="00572A23" w:rsidP="006D1DAE">
      <w:pPr>
        <w:spacing w:before="8" w:line="276" w:lineRule="auto"/>
        <w:ind w:left="720" w:right="1320"/>
        <w:rPr>
          <w:rFonts w:ascii="Times New Roman" w:hAnsi="Times New Roman"/>
          <w:spacing w:val="-4"/>
          <w:sz w:val="24"/>
          <w:szCs w:val="24"/>
        </w:rPr>
      </w:pPr>
    </w:p>
    <w:p w14:paraId="0CB19536" w14:textId="4F8A7636" w:rsidR="00310C1E" w:rsidRDefault="00310C1E"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Atopic dermatitis (AD)</w:t>
      </w:r>
      <w:r w:rsidR="00B26EFD">
        <w:rPr>
          <w:rFonts w:ascii="Times New Roman" w:eastAsia="Times New Roman" w:hAnsi="Times New Roman" w:cs="Times New Roman"/>
          <w:sz w:val="24"/>
          <w:szCs w:val="24"/>
        </w:rPr>
        <w:t xml:space="preserve">, also known as eczema, </w:t>
      </w:r>
      <w:r w:rsidR="00FA1991">
        <w:rPr>
          <w:rFonts w:ascii="Times New Roman" w:eastAsia="Times New Roman" w:hAnsi="Times New Roman" w:cs="Times New Roman"/>
          <w:sz w:val="24"/>
          <w:szCs w:val="24"/>
        </w:rPr>
        <w:t xml:space="preserve">is one of the most common inflammatory </w:t>
      </w:r>
      <w:r w:rsidR="00FA1991">
        <w:rPr>
          <w:rFonts w:ascii="Times New Roman" w:eastAsia="Times New Roman" w:hAnsi="Times New Roman" w:cs="Times New Roman"/>
          <w:sz w:val="24"/>
          <w:szCs w:val="24"/>
        </w:rPr>
        <w:lastRenderedPageBreak/>
        <w:t>skin diseases</w:t>
      </w:r>
      <w:r w:rsidR="00B26EFD">
        <w:rPr>
          <w:rFonts w:ascii="Times New Roman" w:eastAsia="Times New Roman" w:hAnsi="Times New Roman" w:cs="Times New Roman"/>
          <w:sz w:val="24"/>
          <w:szCs w:val="24"/>
        </w:rPr>
        <w:t xml:space="preserve">, </w:t>
      </w:r>
      <w:r w:rsidR="00B42F1D">
        <w:rPr>
          <w:rFonts w:ascii="Times New Roman" w:eastAsia="Times New Roman" w:hAnsi="Times New Roman" w:cs="Times New Roman"/>
          <w:sz w:val="24"/>
          <w:szCs w:val="24"/>
        </w:rPr>
        <w:t xml:space="preserve">affecting approximately 20% of </w:t>
      </w:r>
      <w:r w:rsidR="00137E71">
        <w:rPr>
          <w:rFonts w:ascii="Times New Roman" w:eastAsia="Times New Roman" w:hAnsi="Times New Roman" w:cs="Times New Roman"/>
          <w:sz w:val="24"/>
          <w:szCs w:val="24"/>
        </w:rPr>
        <w:t xml:space="preserve">children </w:t>
      </w:r>
      <w:r w:rsidR="00B42F1D">
        <w:rPr>
          <w:rFonts w:ascii="Times New Roman" w:eastAsia="Times New Roman" w:hAnsi="Times New Roman" w:cs="Times New Roman"/>
          <w:sz w:val="24"/>
          <w:szCs w:val="24"/>
        </w:rPr>
        <w:t>and 3% of</w:t>
      </w:r>
      <w:r w:rsidR="00137E71" w:rsidRPr="00137E71">
        <w:rPr>
          <w:rFonts w:ascii="Times New Roman" w:eastAsia="Times New Roman" w:hAnsi="Times New Roman" w:cs="Times New Roman"/>
          <w:sz w:val="24"/>
          <w:szCs w:val="24"/>
        </w:rPr>
        <w:t xml:space="preserve"> </w:t>
      </w:r>
      <w:r w:rsidR="00137E71">
        <w:rPr>
          <w:rFonts w:ascii="Times New Roman" w:eastAsia="Times New Roman" w:hAnsi="Times New Roman" w:cs="Times New Roman"/>
          <w:sz w:val="24"/>
          <w:szCs w:val="24"/>
        </w:rPr>
        <w:t>adults</w:t>
      </w:r>
      <w:r w:rsidR="00B42F1D">
        <w:rPr>
          <w:rFonts w:ascii="Times New Roman" w:eastAsia="Times New Roman" w:hAnsi="Times New Roman" w:cs="Times New Roman"/>
          <w:sz w:val="24"/>
          <w:szCs w:val="24"/>
        </w:rPr>
        <w:t>.</w:t>
      </w:r>
      <w:r w:rsidR="0005005B">
        <w:rPr>
          <w:rFonts w:ascii="Times New Roman" w:eastAsia="Times New Roman" w:hAnsi="Times New Roman" w:cs="Times New Roman"/>
          <w:sz w:val="24"/>
          <w:szCs w:val="24"/>
        </w:rPr>
        <w:t xml:space="preserve">  It is a chronic inflammatory condition </w:t>
      </w:r>
      <w:r w:rsidR="00040F71">
        <w:rPr>
          <w:rFonts w:ascii="Times New Roman" w:eastAsia="Times New Roman" w:hAnsi="Times New Roman" w:cs="Times New Roman"/>
          <w:sz w:val="24"/>
          <w:szCs w:val="24"/>
        </w:rPr>
        <w:t xml:space="preserve">characterized by </w:t>
      </w:r>
      <w:r w:rsidR="007F6D09">
        <w:rPr>
          <w:rFonts w:ascii="Times New Roman" w:eastAsia="Times New Roman" w:hAnsi="Times New Roman" w:cs="Times New Roman"/>
          <w:sz w:val="24"/>
          <w:szCs w:val="24"/>
        </w:rPr>
        <w:t>acute flareups of eczemat</w:t>
      </w:r>
      <w:r w:rsidR="001B095D">
        <w:rPr>
          <w:rFonts w:ascii="Times New Roman" w:eastAsia="Times New Roman" w:hAnsi="Times New Roman" w:cs="Times New Roman"/>
          <w:sz w:val="24"/>
          <w:szCs w:val="24"/>
        </w:rPr>
        <w:t>ous</w:t>
      </w:r>
      <w:r w:rsidR="007F6D09">
        <w:rPr>
          <w:rFonts w:ascii="Times New Roman" w:eastAsia="Times New Roman" w:hAnsi="Times New Roman" w:cs="Times New Roman"/>
          <w:sz w:val="24"/>
          <w:szCs w:val="24"/>
        </w:rPr>
        <w:t xml:space="preserve"> p</w:t>
      </w:r>
      <w:r w:rsidR="0021187D">
        <w:rPr>
          <w:rFonts w:ascii="Times New Roman" w:eastAsia="Times New Roman" w:hAnsi="Times New Roman" w:cs="Times New Roman"/>
          <w:sz w:val="24"/>
          <w:szCs w:val="24"/>
        </w:rPr>
        <w:t>r</w:t>
      </w:r>
      <w:r w:rsidR="007F6D09">
        <w:rPr>
          <w:rFonts w:ascii="Times New Roman" w:eastAsia="Times New Roman" w:hAnsi="Times New Roman" w:cs="Times New Roman"/>
          <w:sz w:val="24"/>
          <w:szCs w:val="24"/>
        </w:rPr>
        <w:t>u</w:t>
      </w:r>
      <w:r w:rsidR="001B095D">
        <w:rPr>
          <w:rFonts w:ascii="Times New Roman" w:eastAsia="Times New Roman" w:hAnsi="Times New Roman" w:cs="Times New Roman"/>
          <w:sz w:val="24"/>
          <w:szCs w:val="24"/>
        </w:rPr>
        <w:t>r</w:t>
      </w:r>
      <w:r w:rsidR="007F6D09">
        <w:rPr>
          <w:rFonts w:ascii="Times New Roman" w:eastAsia="Times New Roman" w:hAnsi="Times New Roman" w:cs="Times New Roman"/>
          <w:sz w:val="24"/>
          <w:szCs w:val="24"/>
        </w:rPr>
        <w:t xml:space="preserve">itic lesions over dry skin.  The disease </w:t>
      </w:r>
      <w:r w:rsidR="009C3E59">
        <w:rPr>
          <w:rFonts w:ascii="Times New Roman" w:eastAsia="Times New Roman" w:hAnsi="Times New Roman" w:cs="Times New Roman"/>
          <w:sz w:val="24"/>
          <w:szCs w:val="24"/>
        </w:rPr>
        <w:t xml:space="preserve">often precedes </w:t>
      </w:r>
      <w:r w:rsidR="0019685A">
        <w:rPr>
          <w:rFonts w:ascii="Times New Roman" w:eastAsia="Times New Roman" w:hAnsi="Times New Roman" w:cs="Times New Roman"/>
          <w:sz w:val="24"/>
          <w:szCs w:val="24"/>
        </w:rPr>
        <w:t>other allergic conditions such as allergic rhinitis and asthma.</w:t>
      </w:r>
      <w:r w:rsidR="00FA1991">
        <w:rPr>
          <w:rFonts w:ascii="Times New Roman" w:eastAsia="Times New Roman" w:hAnsi="Times New Roman" w:cs="Times New Roman"/>
          <w:sz w:val="24"/>
          <w:szCs w:val="24"/>
        </w:rPr>
        <w:t xml:space="preserve">  </w:t>
      </w:r>
      <w:r w:rsidR="006F0982">
        <w:rPr>
          <w:rFonts w:ascii="Times New Roman" w:eastAsia="Times New Roman" w:hAnsi="Times New Roman" w:cs="Times New Roman"/>
          <w:sz w:val="24"/>
          <w:szCs w:val="24"/>
        </w:rPr>
        <w:t xml:space="preserve">This sequence of disorders is commonly referred to as the “atopic march”.  </w:t>
      </w:r>
      <w:r w:rsidR="0019685A">
        <w:rPr>
          <w:rFonts w:ascii="Times New Roman" w:eastAsia="Times New Roman" w:hAnsi="Times New Roman" w:cs="Times New Roman"/>
          <w:sz w:val="24"/>
          <w:szCs w:val="24"/>
        </w:rPr>
        <w:t xml:space="preserve">Symptoms of atopic dermatitis often include </w:t>
      </w:r>
      <w:r w:rsidR="00485C80">
        <w:rPr>
          <w:rFonts w:ascii="Times New Roman" w:eastAsia="Times New Roman" w:hAnsi="Times New Roman" w:cs="Times New Roman"/>
          <w:sz w:val="24"/>
          <w:szCs w:val="24"/>
        </w:rPr>
        <w:t xml:space="preserve">patches of red or brownish dry, cracked or scaly skin.  In infants it may appear as </w:t>
      </w:r>
      <w:r w:rsidR="00D22E07">
        <w:rPr>
          <w:rFonts w:ascii="Times New Roman" w:eastAsia="Times New Roman" w:hAnsi="Times New Roman" w:cs="Times New Roman"/>
          <w:sz w:val="24"/>
          <w:szCs w:val="24"/>
        </w:rPr>
        <w:t>tiny bumps on the cheeks, whereas older children and adults have lesions on the knees, elbows or the back of the scalp.</w:t>
      </w:r>
    </w:p>
    <w:p w14:paraId="1D1F4F2B" w14:textId="77777777" w:rsidR="001130AD" w:rsidRDefault="001130AD" w:rsidP="00A4016E">
      <w:pPr>
        <w:spacing w:before="8" w:line="276" w:lineRule="auto"/>
        <w:ind w:left="720" w:right="1320"/>
        <w:jc w:val="both"/>
        <w:rPr>
          <w:rFonts w:ascii="Times New Roman" w:eastAsia="Times New Roman" w:hAnsi="Times New Roman" w:cs="Times New Roman"/>
          <w:sz w:val="24"/>
          <w:szCs w:val="24"/>
        </w:rPr>
      </w:pPr>
    </w:p>
    <w:p w14:paraId="1722E543" w14:textId="4614F900" w:rsidR="00D10709" w:rsidRDefault="001E5AC4"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Atopic dermatitis poses a significant burden on healthcare resources and quality of life for patients</w:t>
      </w:r>
      <w:r w:rsidR="007B7AB4">
        <w:rPr>
          <w:rFonts w:ascii="Times New Roman" w:eastAsia="Times New Roman" w:hAnsi="Times New Roman" w:cs="Times New Roman"/>
          <w:sz w:val="24"/>
          <w:szCs w:val="24"/>
        </w:rPr>
        <w:t>, owing to sleep loss as a result of itching, employment loss, time to care and financial costs of care.</w:t>
      </w:r>
      <w:r w:rsidR="001130AD">
        <w:rPr>
          <w:rFonts w:ascii="Times New Roman" w:eastAsia="Times New Roman" w:hAnsi="Times New Roman" w:cs="Times New Roman"/>
          <w:sz w:val="24"/>
          <w:szCs w:val="24"/>
        </w:rPr>
        <w:t xml:space="preserve"> </w:t>
      </w:r>
      <w:r w:rsidR="00ED13BB">
        <w:rPr>
          <w:rFonts w:ascii="Times New Roman" w:eastAsia="Times New Roman" w:hAnsi="Times New Roman" w:cs="Times New Roman"/>
          <w:sz w:val="24"/>
          <w:szCs w:val="24"/>
        </w:rPr>
        <w:t xml:space="preserve">The burden from direct and indirect costs of the </w:t>
      </w:r>
      <w:r w:rsidR="00826141">
        <w:rPr>
          <w:rFonts w:ascii="Times New Roman" w:eastAsia="Times New Roman" w:hAnsi="Times New Roman" w:cs="Times New Roman"/>
          <w:sz w:val="24"/>
          <w:szCs w:val="24"/>
        </w:rPr>
        <w:t>disease is estimated to be $38 billion</w:t>
      </w:r>
      <w:r w:rsidR="00FA1C52">
        <w:rPr>
          <w:rFonts w:ascii="Times New Roman" w:eastAsia="Times New Roman" w:hAnsi="Times New Roman" w:cs="Times New Roman"/>
          <w:sz w:val="24"/>
          <w:szCs w:val="24"/>
        </w:rPr>
        <w:t xml:space="preserve"> (AJMC, June 20, 2017 – </w:t>
      </w:r>
      <w:proofErr w:type="spellStart"/>
      <w:r w:rsidR="00FA1C52">
        <w:rPr>
          <w:rFonts w:ascii="Times New Roman" w:eastAsia="Times New Roman" w:hAnsi="Times New Roman" w:cs="Times New Roman"/>
          <w:sz w:val="24"/>
          <w:szCs w:val="24"/>
        </w:rPr>
        <w:t>Avena</w:t>
      </w:r>
      <w:proofErr w:type="spellEnd"/>
      <w:r w:rsidR="00FA1C52">
        <w:rPr>
          <w:rFonts w:ascii="Times New Roman" w:eastAsia="Times New Roman" w:hAnsi="Times New Roman" w:cs="Times New Roman"/>
          <w:sz w:val="24"/>
          <w:szCs w:val="24"/>
        </w:rPr>
        <w:t>-Woods, C.</w:t>
      </w:r>
      <w:r w:rsidR="00766F33">
        <w:rPr>
          <w:rFonts w:ascii="Times New Roman" w:eastAsia="Times New Roman" w:hAnsi="Times New Roman" w:cs="Times New Roman"/>
          <w:sz w:val="24"/>
          <w:szCs w:val="24"/>
        </w:rPr>
        <w:t xml:space="preserve"> v23i8</w:t>
      </w:r>
      <w:r w:rsidR="00E96C04">
        <w:rPr>
          <w:rFonts w:ascii="Times New Roman" w:eastAsia="Times New Roman" w:hAnsi="Times New Roman" w:cs="Times New Roman"/>
          <w:sz w:val="24"/>
          <w:szCs w:val="24"/>
        </w:rPr>
        <w:t xml:space="preserve">).  </w:t>
      </w:r>
      <w:r w:rsidR="00A323D0">
        <w:rPr>
          <w:rFonts w:ascii="Times New Roman" w:eastAsia="Times New Roman" w:hAnsi="Times New Roman" w:cs="Times New Roman"/>
          <w:sz w:val="24"/>
          <w:szCs w:val="24"/>
        </w:rPr>
        <w:t xml:space="preserve">Most patients with AD experience itch on a daily basis, and </w:t>
      </w:r>
      <w:r w:rsidR="00D2208E">
        <w:rPr>
          <w:rFonts w:ascii="Times New Roman" w:eastAsia="Times New Roman" w:hAnsi="Times New Roman" w:cs="Times New Roman"/>
          <w:sz w:val="24"/>
          <w:szCs w:val="24"/>
        </w:rPr>
        <w:t>in some cases the degree of itch is associated with mental distress and increased risk of suicidal ideation.</w:t>
      </w:r>
      <w:r w:rsidR="00E532AB">
        <w:rPr>
          <w:rFonts w:ascii="Times New Roman" w:eastAsia="Times New Roman" w:hAnsi="Times New Roman" w:cs="Times New Roman"/>
          <w:sz w:val="24"/>
          <w:szCs w:val="24"/>
        </w:rPr>
        <w:t xml:space="preserve">  Sleep disturbance associated with itch is found in 67% of AD patients</w:t>
      </w:r>
      <w:r w:rsidR="003E0CF7">
        <w:rPr>
          <w:rFonts w:ascii="Times New Roman" w:eastAsia="Times New Roman" w:hAnsi="Times New Roman" w:cs="Times New Roman"/>
          <w:sz w:val="24"/>
          <w:szCs w:val="24"/>
        </w:rPr>
        <w:t xml:space="preserve">, leading to daytime fatigue.  In children, these sleep disturbances are associated with </w:t>
      </w:r>
      <w:r w:rsidR="000C3D95">
        <w:rPr>
          <w:rFonts w:ascii="Times New Roman" w:eastAsia="Times New Roman" w:hAnsi="Times New Roman" w:cs="Times New Roman"/>
          <w:sz w:val="24"/>
          <w:szCs w:val="24"/>
        </w:rPr>
        <w:t>higher rates of attention deficit disorder, headaches and short stature.</w:t>
      </w:r>
    </w:p>
    <w:p w14:paraId="1E605228" w14:textId="77777777" w:rsidR="00D10709" w:rsidRDefault="00D10709" w:rsidP="00A4016E">
      <w:pPr>
        <w:spacing w:before="8" w:line="276" w:lineRule="auto"/>
        <w:ind w:left="720" w:right="1320"/>
        <w:jc w:val="both"/>
        <w:rPr>
          <w:rFonts w:ascii="Times New Roman" w:eastAsia="Times New Roman" w:hAnsi="Times New Roman" w:cs="Times New Roman"/>
          <w:sz w:val="24"/>
          <w:szCs w:val="24"/>
        </w:rPr>
      </w:pPr>
    </w:p>
    <w:p w14:paraId="2CF95C3F" w14:textId="6A71C29C" w:rsidR="00B62E61" w:rsidRDefault="001130AD"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BD7071">
        <w:rPr>
          <w:rFonts w:ascii="Times New Roman" w:eastAsia="Times New Roman" w:hAnsi="Times New Roman" w:cs="Times New Roman"/>
          <w:sz w:val="24"/>
          <w:szCs w:val="24"/>
        </w:rPr>
        <w:t>pathophysiology</w:t>
      </w:r>
      <w:r>
        <w:rPr>
          <w:rFonts w:ascii="Times New Roman" w:eastAsia="Times New Roman" w:hAnsi="Times New Roman" w:cs="Times New Roman"/>
          <w:sz w:val="24"/>
          <w:szCs w:val="24"/>
        </w:rPr>
        <w:t xml:space="preserve"> of AD is complex</w:t>
      </w:r>
      <w:r w:rsidR="00BD7071">
        <w:rPr>
          <w:rFonts w:ascii="Times New Roman" w:eastAsia="Times New Roman" w:hAnsi="Times New Roman" w:cs="Times New Roman"/>
          <w:sz w:val="24"/>
          <w:szCs w:val="24"/>
        </w:rPr>
        <w:t>, multifactorial and poorly understood.</w:t>
      </w:r>
      <w:r w:rsidR="00B01ABD">
        <w:rPr>
          <w:rFonts w:ascii="Times New Roman" w:eastAsia="Times New Roman" w:hAnsi="Times New Roman" w:cs="Times New Roman"/>
          <w:sz w:val="24"/>
          <w:szCs w:val="24"/>
        </w:rPr>
        <w:t xml:space="preserve">  Genetic predisposition, skin barrier disruption, immune system dysregulation and environmental factors are believed to contribute </w:t>
      </w:r>
      <w:r w:rsidR="008534E1">
        <w:rPr>
          <w:rFonts w:ascii="Times New Roman" w:eastAsia="Times New Roman" w:hAnsi="Times New Roman" w:cs="Times New Roman"/>
          <w:sz w:val="24"/>
          <w:szCs w:val="24"/>
        </w:rPr>
        <w:t xml:space="preserve">to the disease.  </w:t>
      </w:r>
      <w:r w:rsidR="00B62E61">
        <w:rPr>
          <w:rFonts w:ascii="Times New Roman" w:eastAsia="Times New Roman" w:hAnsi="Times New Roman" w:cs="Times New Roman"/>
          <w:sz w:val="24"/>
          <w:szCs w:val="24"/>
        </w:rPr>
        <w:t xml:space="preserve">Two major theories have been advanced to explain the cause of the disease.  The “inside out” hypothesis </w:t>
      </w:r>
      <w:r w:rsidR="001660EF">
        <w:rPr>
          <w:rFonts w:ascii="Times New Roman" w:eastAsia="Times New Roman" w:hAnsi="Times New Roman" w:cs="Times New Roman"/>
          <w:sz w:val="24"/>
          <w:szCs w:val="24"/>
        </w:rPr>
        <w:t xml:space="preserve">proposes that allergic triggering leads to a weakened skin barrier that furthers allergen introduction and inflammation.  The “outside in” hypothesis </w:t>
      </w:r>
      <w:r w:rsidR="002A5A39">
        <w:rPr>
          <w:rFonts w:ascii="Times New Roman" w:eastAsia="Times New Roman" w:hAnsi="Times New Roman" w:cs="Times New Roman"/>
          <w:sz w:val="24"/>
          <w:szCs w:val="24"/>
        </w:rPr>
        <w:t>invokes an impaired skin barrier that precedes AD and is necessary for immune dysregulation to occur.  These theories are not necessarily mutually exclusive.</w:t>
      </w:r>
    </w:p>
    <w:p w14:paraId="4E7CC909" w14:textId="77777777" w:rsidR="00B62E61" w:rsidRDefault="00B62E61" w:rsidP="00A4016E">
      <w:pPr>
        <w:spacing w:before="8" w:line="276" w:lineRule="auto"/>
        <w:ind w:left="720" w:right="1320"/>
        <w:jc w:val="both"/>
        <w:rPr>
          <w:rFonts w:ascii="Times New Roman" w:eastAsia="Times New Roman" w:hAnsi="Times New Roman" w:cs="Times New Roman"/>
          <w:sz w:val="24"/>
          <w:szCs w:val="24"/>
        </w:rPr>
      </w:pPr>
    </w:p>
    <w:p w14:paraId="59BD893A" w14:textId="7554BA52" w:rsidR="00C82281" w:rsidRDefault="008534E1"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epidermis plays a key role in the </w:t>
      </w:r>
      <w:r w:rsidR="00DD0B08">
        <w:rPr>
          <w:rFonts w:ascii="Times New Roman" w:eastAsia="Times New Roman" w:hAnsi="Times New Roman" w:cs="Times New Roman"/>
          <w:sz w:val="24"/>
          <w:szCs w:val="24"/>
        </w:rPr>
        <w:t xml:space="preserve">physical and functional barrier of the skin.  It is comprised of several proteins, including </w:t>
      </w:r>
      <w:r w:rsidR="00D52E30">
        <w:rPr>
          <w:rFonts w:ascii="Times New Roman" w:eastAsia="Times New Roman" w:hAnsi="Times New Roman" w:cs="Times New Roman"/>
          <w:sz w:val="24"/>
          <w:szCs w:val="24"/>
        </w:rPr>
        <w:t xml:space="preserve">filaggrin, transglutaminases, keratin and intracellular proteins.  Differences in the protein composition of the epidermis can </w:t>
      </w:r>
      <w:r w:rsidR="00855A4C">
        <w:rPr>
          <w:rFonts w:ascii="Times New Roman" w:eastAsia="Times New Roman" w:hAnsi="Times New Roman" w:cs="Times New Roman"/>
          <w:sz w:val="24"/>
          <w:szCs w:val="24"/>
        </w:rPr>
        <w:t xml:space="preserve">lead to barrier </w:t>
      </w:r>
      <w:r w:rsidR="004F00DD">
        <w:rPr>
          <w:rFonts w:ascii="Times New Roman" w:eastAsia="Times New Roman" w:hAnsi="Times New Roman" w:cs="Times New Roman"/>
          <w:sz w:val="24"/>
          <w:szCs w:val="24"/>
        </w:rPr>
        <w:t>impairment and p</w:t>
      </w:r>
      <w:r w:rsidR="00855A4C">
        <w:rPr>
          <w:rFonts w:ascii="Times New Roman" w:eastAsia="Times New Roman" w:hAnsi="Times New Roman" w:cs="Times New Roman"/>
          <w:sz w:val="24"/>
          <w:szCs w:val="24"/>
        </w:rPr>
        <w:t>enetration of allergens and microbes</w:t>
      </w:r>
      <w:r w:rsidR="004F00DD">
        <w:rPr>
          <w:rFonts w:ascii="Times New Roman" w:eastAsia="Times New Roman" w:hAnsi="Times New Roman" w:cs="Times New Roman"/>
          <w:sz w:val="24"/>
          <w:szCs w:val="24"/>
        </w:rPr>
        <w:t>, leading to further immune and inflammatory response.</w:t>
      </w:r>
      <w:r w:rsidR="00AA2025">
        <w:rPr>
          <w:rFonts w:ascii="Times New Roman" w:eastAsia="Times New Roman" w:hAnsi="Times New Roman" w:cs="Times New Roman"/>
          <w:sz w:val="24"/>
          <w:szCs w:val="24"/>
        </w:rPr>
        <w:t xml:space="preserve">  </w:t>
      </w:r>
      <w:r w:rsidR="00F95937">
        <w:rPr>
          <w:rFonts w:ascii="Times New Roman" w:eastAsia="Times New Roman" w:hAnsi="Times New Roman" w:cs="Times New Roman"/>
          <w:sz w:val="24"/>
          <w:szCs w:val="24"/>
        </w:rPr>
        <w:t xml:space="preserve">Loss of function mutations in the FLG gene, which encodes filaggrin, </w:t>
      </w:r>
      <w:r w:rsidR="00D10709">
        <w:rPr>
          <w:rFonts w:ascii="Times New Roman" w:eastAsia="Times New Roman" w:hAnsi="Times New Roman" w:cs="Times New Roman"/>
          <w:sz w:val="24"/>
          <w:szCs w:val="24"/>
        </w:rPr>
        <w:t>are</w:t>
      </w:r>
      <w:r w:rsidR="00F95937">
        <w:rPr>
          <w:rFonts w:ascii="Times New Roman" w:eastAsia="Times New Roman" w:hAnsi="Times New Roman" w:cs="Times New Roman"/>
          <w:sz w:val="24"/>
          <w:szCs w:val="24"/>
        </w:rPr>
        <w:t xml:space="preserve"> strongly associated with AD</w:t>
      </w:r>
      <w:r w:rsidR="00982975">
        <w:rPr>
          <w:rFonts w:ascii="Times New Roman" w:eastAsia="Times New Roman" w:hAnsi="Times New Roman" w:cs="Times New Roman"/>
          <w:sz w:val="24"/>
          <w:szCs w:val="24"/>
        </w:rPr>
        <w:t>; 10% of the western population and 50% of AD patients carry mutations in FLG.</w:t>
      </w:r>
    </w:p>
    <w:p w14:paraId="4F05285A" w14:textId="77777777" w:rsidR="00C82281" w:rsidRDefault="00C82281" w:rsidP="00A4016E">
      <w:pPr>
        <w:spacing w:before="8" w:line="276" w:lineRule="auto"/>
        <w:ind w:left="720" w:right="1320"/>
        <w:jc w:val="both"/>
        <w:rPr>
          <w:rFonts w:ascii="Times New Roman" w:eastAsia="Times New Roman" w:hAnsi="Times New Roman" w:cs="Times New Roman"/>
          <w:sz w:val="24"/>
          <w:szCs w:val="24"/>
        </w:rPr>
      </w:pPr>
    </w:p>
    <w:p w14:paraId="533733B7" w14:textId="106CDF94" w:rsidR="001E5AC4" w:rsidRDefault="00C82281"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immune response observed during the course of AD is biphasic.  A Th2</w:t>
      </w:r>
      <w:r w:rsidR="008D2A74">
        <w:rPr>
          <w:rFonts w:ascii="Times New Roman" w:eastAsia="Times New Roman" w:hAnsi="Times New Roman" w:cs="Times New Roman"/>
          <w:sz w:val="24"/>
          <w:szCs w:val="24"/>
        </w:rPr>
        <w:t xml:space="preserve">-based immune response is predominant in the initial or acute phase of the disease, whereas a Th1-based response is characteristic of </w:t>
      </w:r>
      <w:r w:rsidR="005E42F7">
        <w:rPr>
          <w:rFonts w:ascii="Times New Roman" w:eastAsia="Times New Roman" w:hAnsi="Times New Roman" w:cs="Times New Roman"/>
          <w:sz w:val="24"/>
          <w:szCs w:val="24"/>
        </w:rPr>
        <w:t xml:space="preserve">chronic AD lesions.  </w:t>
      </w:r>
      <w:r w:rsidR="00137E71">
        <w:rPr>
          <w:rFonts w:ascii="Times New Roman" w:eastAsia="Times New Roman" w:hAnsi="Times New Roman" w:cs="Times New Roman"/>
          <w:sz w:val="24"/>
          <w:szCs w:val="24"/>
        </w:rPr>
        <w:t xml:space="preserve">Key cytokines in AD pathogenesis are IL-4 and IL-13 although several other cytokines (IL-31, IL-22, TARC) also play a significant role. </w:t>
      </w:r>
      <w:r w:rsidR="005E42F7">
        <w:rPr>
          <w:rFonts w:ascii="Times New Roman" w:eastAsia="Times New Roman" w:hAnsi="Times New Roman" w:cs="Times New Roman"/>
          <w:sz w:val="24"/>
          <w:szCs w:val="24"/>
        </w:rPr>
        <w:t>In addition, regulatory T-cells and the innate immune system are altered in the skin</w:t>
      </w:r>
      <w:r w:rsidR="000F7D8B">
        <w:rPr>
          <w:rFonts w:ascii="Times New Roman" w:eastAsia="Times New Roman" w:hAnsi="Times New Roman" w:cs="Times New Roman"/>
          <w:sz w:val="24"/>
          <w:szCs w:val="24"/>
        </w:rPr>
        <w:t xml:space="preserve">.  </w:t>
      </w:r>
      <w:r w:rsidR="000F7D8B">
        <w:rPr>
          <w:rFonts w:ascii="Times New Roman" w:eastAsia="Times New Roman" w:hAnsi="Times New Roman" w:cs="Times New Roman"/>
          <w:sz w:val="24"/>
          <w:szCs w:val="24"/>
        </w:rPr>
        <w:lastRenderedPageBreak/>
        <w:t xml:space="preserve">As a result, microbial defenses are compromised, and </w:t>
      </w:r>
      <w:r w:rsidR="000F7D8B" w:rsidRPr="00E80A42">
        <w:rPr>
          <w:rFonts w:ascii="Times New Roman" w:eastAsia="Times New Roman" w:hAnsi="Times New Roman" w:cs="Times New Roman"/>
          <w:i/>
          <w:iCs/>
          <w:sz w:val="24"/>
          <w:szCs w:val="24"/>
        </w:rPr>
        <w:t xml:space="preserve">S. aureus </w:t>
      </w:r>
      <w:r w:rsidR="000F7D8B">
        <w:rPr>
          <w:rFonts w:ascii="Times New Roman" w:eastAsia="Times New Roman" w:hAnsi="Times New Roman" w:cs="Times New Roman"/>
          <w:sz w:val="24"/>
          <w:szCs w:val="24"/>
        </w:rPr>
        <w:t>is often found in both diseased and healthy skin of AD patients</w:t>
      </w:r>
      <w:r w:rsidR="00E80A42">
        <w:rPr>
          <w:rFonts w:ascii="Times New Roman" w:eastAsia="Times New Roman" w:hAnsi="Times New Roman" w:cs="Times New Roman"/>
          <w:sz w:val="24"/>
          <w:szCs w:val="24"/>
        </w:rPr>
        <w:t>, which exacerbates lesions.</w:t>
      </w:r>
      <w:r w:rsidR="00855A4C">
        <w:rPr>
          <w:rFonts w:ascii="Times New Roman" w:eastAsia="Times New Roman" w:hAnsi="Times New Roman" w:cs="Times New Roman"/>
          <w:sz w:val="24"/>
          <w:szCs w:val="24"/>
        </w:rPr>
        <w:t xml:space="preserve"> </w:t>
      </w:r>
    </w:p>
    <w:p w14:paraId="7214D006" w14:textId="237D5E7B" w:rsidR="00E71B76" w:rsidRDefault="00E71B76" w:rsidP="00A4016E">
      <w:pPr>
        <w:spacing w:before="8" w:line="276" w:lineRule="auto"/>
        <w:ind w:left="720" w:right="1320"/>
        <w:jc w:val="both"/>
        <w:rPr>
          <w:rFonts w:ascii="Times New Roman" w:eastAsia="Times New Roman" w:hAnsi="Times New Roman" w:cs="Times New Roman"/>
          <w:sz w:val="24"/>
          <w:szCs w:val="24"/>
        </w:rPr>
      </w:pPr>
    </w:p>
    <w:p w14:paraId="7B9C5E8E" w14:textId="77777777" w:rsidR="00310C64" w:rsidRDefault="00E71B76"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Treatment of atopic dermatitis frequently begins by recognizing and avoiding trigger</w:t>
      </w:r>
      <w:r w:rsidR="00FB2A89">
        <w:rPr>
          <w:rFonts w:ascii="Times New Roman" w:eastAsia="Times New Roman" w:hAnsi="Times New Roman" w:cs="Times New Roman"/>
          <w:sz w:val="24"/>
          <w:szCs w:val="24"/>
        </w:rPr>
        <w:t xml:space="preserve">s of AD exacerbation, which can include viral infections, food allergens, cosmetics, fragrance and </w:t>
      </w:r>
      <w:r w:rsidR="0043653D">
        <w:rPr>
          <w:rFonts w:ascii="Times New Roman" w:eastAsia="Times New Roman" w:hAnsi="Times New Roman" w:cs="Times New Roman"/>
          <w:sz w:val="24"/>
          <w:szCs w:val="24"/>
        </w:rPr>
        <w:t>extremes of hot or cold weather.</w:t>
      </w:r>
      <w:r w:rsidR="00A21C1A">
        <w:rPr>
          <w:rFonts w:ascii="Times New Roman" w:eastAsia="Times New Roman" w:hAnsi="Times New Roman" w:cs="Times New Roman"/>
          <w:sz w:val="24"/>
          <w:szCs w:val="24"/>
        </w:rPr>
        <w:t xml:space="preserve">  Symptom relief may be provided by topical </w:t>
      </w:r>
      <w:r w:rsidR="00624129">
        <w:rPr>
          <w:rFonts w:ascii="Times New Roman" w:eastAsia="Times New Roman" w:hAnsi="Times New Roman" w:cs="Times New Roman"/>
          <w:sz w:val="24"/>
          <w:szCs w:val="24"/>
        </w:rPr>
        <w:t xml:space="preserve">or oral </w:t>
      </w:r>
      <w:r w:rsidR="00A21C1A">
        <w:rPr>
          <w:rFonts w:ascii="Times New Roman" w:eastAsia="Times New Roman" w:hAnsi="Times New Roman" w:cs="Times New Roman"/>
          <w:sz w:val="24"/>
          <w:szCs w:val="24"/>
        </w:rPr>
        <w:t>corticosteroids</w:t>
      </w:r>
      <w:r w:rsidR="00624129">
        <w:rPr>
          <w:rFonts w:ascii="Times New Roman" w:eastAsia="Times New Roman" w:hAnsi="Times New Roman" w:cs="Times New Roman"/>
          <w:sz w:val="24"/>
          <w:szCs w:val="24"/>
        </w:rPr>
        <w:t xml:space="preserve">.  </w:t>
      </w:r>
      <w:r w:rsidR="00D2775E">
        <w:rPr>
          <w:rFonts w:ascii="Times New Roman" w:eastAsia="Times New Roman" w:hAnsi="Times New Roman" w:cs="Times New Roman"/>
          <w:sz w:val="24"/>
          <w:szCs w:val="24"/>
        </w:rPr>
        <w:t xml:space="preserve">While effective, chronic use of topical corticosteroids can lead to thinning of the skin.  Oral corticosteroids </w:t>
      </w:r>
      <w:r w:rsidR="00363A63">
        <w:rPr>
          <w:rFonts w:ascii="Times New Roman" w:eastAsia="Times New Roman" w:hAnsi="Times New Roman" w:cs="Times New Roman"/>
          <w:sz w:val="24"/>
          <w:szCs w:val="24"/>
        </w:rPr>
        <w:t xml:space="preserve">cannot be used chronically due to severe systemic side effects.  Local infections of the skin are treated </w:t>
      </w:r>
      <w:r w:rsidR="00B06B3F">
        <w:rPr>
          <w:rFonts w:ascii="Times New Roman" w:eastAsia="Times New Roman" w:hAnsi="Times New Roman" w:cs="Times New Roman"/>
          <w:sz w:val="24"/>
          <w:szCs w:val="24"/>
        </w:rPr>
        <w:t xml:space="preserve">with antibiotic ointments or oral antibiotics.  Dupilumab was approved by the FDA for treatment of </w:t>
      </w:r>
      <w:r w:rsidR="003C0673">
        <w:rPr>
          <w:rFonts w:ascii="Times New Roman" w:eastAsia="Times New Roman" w:hAnsi="Times New Roman" w:cs="Times New Roman"/>
          <w:sz w:val="24"/>
          <w:szCs w:val="24"/>
        </w:rPr>
        <w:t xml:space="preserve">moderate to </w:t>
      </w:r>
      <w:r w:rsidR="00AA3E66">
        <w:rPr>
          <w:rFonts w:ascii="Times New Roman" w:eastAsia="Times New Roman" w:hAnsi="Times New Roman" w:cs="Times New Roman"/>
          <w:sz w:val="24"/>
          <w:szCs w:val="24"/>
        </w:rPr>
        <w:t xml:space="preserve">severe </w:t>
      </w:r>
      <w:r w:rsidR="00E93D15">
        <w:rPr>
          <w:rFonts w:ascii="Times New Roman" w:eastAsia="Times New Roman" w:hAnsi="Times New Roman" w:cs="Times New Roman"/>
          <w:sz w:val="24"/>
          <w:szCs w:val="24"/>
        </w:rPr>
        <w:t>a</w:t>
      </w:r>
      <w:r w:rsidR="00B06B3F">
        <w:rPr>
          <w:rFonts w:ascii="Times New Roman" w:eastAsia="Times New Roman" w:hAnsi="Times New Roman" w:cs="Times New Roman"/>
          <w:sz w:val="24"/>
          <w:szCs w:val="24"/>
        </w:rPr>
        <w:t xml:space="preserve">topic </w:t>
      </w:r>
      <w:r w:rsidR="00E93D15">
        <w:rPr>
          <w:rFonts w:ascii="Times New Roman" w:eastAsia="Times New Roman" w:hAnsi="Times New Roman" w:cs="Times New Roman"/>
          <w:sz w:val="24"/>
          <w:szCs w:val="24"/>
        </w:rPr>
        <w:t>d</w:t>
      </w:r>
      <w:r w:rsidR="00B06B3F">
        <w:rPr>
          <w:rFonts w:ascii="Times New Roman" w:eastAsia="Times New Roman" w:hAnsi="Times New Roman" w:cs="Times New Roman"/>
          <w:sz w:val="24"/>
          <w:szCs w:val="24"/>
        </w:rPr>
        <w:t>ermatitis</w:t>
      </w:r>
      <w:r w:rsidR="00D2775E">
        <w:rPr>
          <w:rFonts w:ascii="Times New Roman" w:eastAsia="Times New Roman" w:hAnsi="Times New Roman" w:cs="Times New Roman"/>
          <w:sz w:val="24"/>
          <w:szCs w:val="24"/>
        </w:rPr>
        <w:t xml:space="preserve"> </w:t>
      </w:r>
      <w:r w:rsidR="00AA3E66">
        <w:rPr>
          <w:rFonts w:ascii="Times New Roman" w:eastAsia="Times New Roman" w:hAnsi="Times New Roman" w:cs="Times New Roman"/>
          <w:sz w:val="24"/>
          <w:szCs w:val="24"/>
        </w:rPr>
        <w:t xml:space="preserve">in patients </w:t>
      </w:r>
      <w:r w:rsidR="00E93D15">
        <w:rPr>
          <w:rFonts w:ascii="Times New Roman" w:eastAsia="Times New Roman" w:hAnsi="Times New Roman" w:cs="Times New Roman"/>
          <w:sz w:val="24"/>
          <w:szCs w:val="24"/>
        </w:rPr>
        <w:t>over 6 years of age whose disease is not adequately controlled with topical agents</w:t>
      </w:r>
      <w:r w:rsidR="00180369">
        <w:rPr>
          <w:rFonts w:ascii="Times New Roman" w:eastAsia="Times New Roman" w:hAnsi="Times New Roman" w:cs="Times New Roman"/>
          <w:sz w:val="24"/>
          <w:szCs w:val="24"/>
        </w:rPr>
        <w:t xml:space="preserve"> or when those therapies are not advisable. </w:t>
      </w:r>
      <w:r w:rsidR="00C20846">
        <w:rPr>
          <w:rFonts w:ascii="Times New Roman" w:eastAsia="Times New Roman" w:hAnsi="Times New Roman" w:cs="Times New Roman"/>
          <w:sz w:val="24"/>
          <w:szCs w:val="24"/>
        </w:rPr>
        <w:t xml:space="preserve"> Dupilumab is a dual IL-</w:t>
      </w:r>
      <w:r w:rsidR="00C61637">
        <w:rPr>
          <w:rFonts w:ascii="Times New Roman" w:eastAsia="Times New Roman" w:hAnsi="Times New Roman" w:cs="Times New Roman"/>
          <w:sz w:val="24"/>
          <w:szCs w:val="24"/>
        </w:rPr>
        <w:t>4</w:t>
      </w:r>
      <w:r w:rsidR="00C20846">
        <w:rPr>
          <w:rFonts w:ascii="Times New Roman" w:eastAsia="Times New Roman" w:hAnsi="Times New Roman" w:cs="Times New Roman"/>
          <w:sz w:val="24"/>
          <w:szCs w:val="24"/>
        </w:rPr>
        <w:t xml:space="preserve"> and IL-</w:t>
      </w:r>
      <w:r w:rsidR="00C61637">
        <w:rPr>
          <w:rFonts w:ascii="Times New Roman" w:eastAsia="Times New Roman" w:hAnsi="Times New Roman" w:cs="Times New Roman"/>
          <w:sz w:val="24"/>
          <w:szCs w:val="24"/>
        </w:rPr>
        <w:t>13 inhibitor</w:t>
      </w:r>
      <w:r w:rsidR="00BD2416">
        <w:rPr>
          <w:rFonts w:ascii="Times New Roman" w:eastAsia="Times New Roman" w:hAnsi="Times New Roman" w:cs="Times New Roman"/>
          <w:sz w:val="24"/>
          <w:szCs w:val="24"/>
        </w:rPr>
        <w:t xml:space="preserve">.  While these are major cytokines associated with the Th2 </w:t>
      </w:r>
      <w:r w:rsidR="00B752B6">
        <w:rPr>
          <w:rFonts w:ascii="Times New Roman" w:eastAsia="Times New Roman" w:hAnsi="Times New Roman" w:cs="Times New Roman"/>
          <w:sz w:val="24"/>
          <w:szCs w:val="24"/>
        </w:rPr>
        <w:t xml:space="preserve">driven response in AD, </w:t>
      </w:r>
      <w:r w:rsidR="00F11B93">
        <w:rPr>
          <w:rFonts w:ascii="Times New Roman" w:eastAsia="Times New Roman" w:hAnsi="Times New Roman" w:cs="Times New Roman"/>
          <w:sz w:val="24"/>
          <w:szCs w:val="24"/>
        </w:rPr>
        <w:t>inhibiting Th1 and Th2 cytokines offers the potential for greater efficacy.</w:t>
      </w:r>
    </w:p>
    <w:p w14:paraId="1B9E6888" w14:textId="0E7362A7" w:rsidR="00E71B76" w:rsidRDefault="00C20846" w:rsidP="00A4016E">
      <w:pPr>
        <w:spacing w:before="8" w:line="276" w:lineRule="auto"/>
        <w:ind w:left="720" w:right="132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00180369">
        <w:rPr>
          <w:rFonts w:ascii="Times New Roman" w:eastAsia="Times New Roman" w:hAnsi="Times New Roman" w:cs="Times New Roman"/>
          <w:sz w:val="24"/>
          <w:szCs w:val="24"/>
        </w:rPr>
        <w:t xml:space="preserve"> </w:t>
      </w:r>
      <w:r w:rsidR="00AA3E66">
        <w:rPr>
          <w:rFonts w:ascii="Times New Roman" w:eastAsia="Times New Roman" w:hAnsi="Times New Roman" w:cs="Times New Roman"/>
          <w:sz w:val="24"/>
          <w:szCs w:val="24"/>
        </w:rPr>
        <w:t xml:space="preserve">  </w:t>
      </w:r>
    </w:p>
    <w:p w14:paraId="360ABCE1" w14:textId="1A8DFDC9" w:rsidR="00F11B93" w:rsidRDefault="003F4CE1"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Janus kinases (JAKs) are intracellular kinases that </w:t>
      </w:r>
      <w:r w:rsidR="008310D5">
        <w:rPr>
          <w:rFonts w:ascii="Times New Roman" w:eastAsia="Times New Roman" w:hAnsi="Times New Roman" w:cs="Times New Roman"/>
          <w:sz w:val="24"/>
          <w:szCs w:val="24"/>
        </w:rPr>
        <w:t>mediate cytokine and growth factor signaling in inflammation, immune homeostasis and hematopoiesis.  There are four members of the JAK family: JAK1, JAK2, JAK3 and T</w:t>
      </w:r>
      <w:r w:rsidR="00803209">
        <w:rPr>
          <w:rFonts w:ascii="Times New Roman" w:eastAsia="Times New Roman" w:hAnsi="Times New Roman" w:cs="Times New Roman"/>
          <w:sz w:val="24"/>
          <w:szCs w:val="24"/>
        </w:rPr>
        <w:t>YK</w:t>
      </w:r>
      <w:r w:rsidR="008310D5">
        <w:rPr>
          <w:rFonts w:ascii="Times New Roman" w:eastAsia="Times New Roman" w:hAnsi="Times New Roman" w:cs="Times New Roman"/>
          <w:sz w:val="24"/>
          <w:szCs w:val="24"/>
        </w:rPr>
        <w:t>2.</w:t>
      </w:r>
      <w:r w:rsidR="00803209">
        <w:rPr>
          <w:rFonts w:ascii="Times New Roman" w:eastAsia="Times New Roman" w:hAnsi="Times New Roman" w:cs="Times New Roman"/>
          <w:sz w:val="24"/>
          <w:szCs w:val="24"/>
        </w:rPr>
        <w:t xml:space="preserve">  Cytokine binding to its cognate receptor initiates a dimerization or multimerization event of the receptor subunits</w:t>
      </w:r>
      <w:r w:rsidR="00EA34DC">
        <w:rPr>
          <w:rFonts w:ascii="Times New Roman" w:eastAsia="Times New Roman" w:hAnsi="Times New Roman" w:cs="Times New Roman"/>
          <w:sz w:val="24"/>
          <w:szCs w:val="24"/>
        </w:rPr>
        <w:t xml:space="preserve">.  JAKs associated with those receptor subunits are brought into proximity with each other, leading to transphosphorylation and activation.  These </w:t>
      </w:r>
      <w:r w:rsidR="002D5783">
        <w:rPr>
          <w:rFonts w:ascii="Times New Roman" w:eastAsia="Times New Roman" w:hAnsi="Times New Roman" w:cs="Times New Roman"/>
          <w:sz w:val="24"/>
          <w:szCs w:val="24"/>
        </w:rPr>
        <w:t>phosphorylated</w:t>
      </w:r>
      <w:r w:rsidR="00EA34DC">
        <w:rPr>
          <w:rFonts w:ascii="Times New Roman" w:eastAsia="Times New Roman" w:hAnsi="Times New Roman" w:cs="Times New Roman"/>
          <w:sz w:val="24"/>
          <w:szCs w:val="24"/>
        </w:rPr>
        <w:t xml:space="preserve"> kinases </w:t>
      </w:r>
      <w:r w:rsidR="00AB3031">
        <w:rPr>
          <w:rFonts w:ascii="Times New Roman" w:eastAsia="Times New Roman" w:hAnsi="Times New Roman" w:cs="Times New Roman"/>
          <w:sz w:val="24"/>
          <w:szCs w:val="24"/>
        </w:rPr>
        <w:t xml:space="preserve">in turn phosphorylate tyrosine residues on the intracellular domain of the cytokine receptor, creating docking sites for the recruitment of </w:t>
      </w:r>
      <w:r w:rsidR="00A3573F">
        <w:rPr>
          <w:rFonts w:ascii="Times New Roman" w:eastAsia="Times New Roman" w:hAnsi="Times New Roman" w:cs="Times New Roman"/>
          <w:sz w:val="24"/>
          <w:szCs w:val="24"/>
        </w:rPr>
        <w:t>STAT transcription factor proteins.  These STAT proteins then dimerize and translocate to the nucleus, where they modulate gene expression.</w:t>
      </w:r>
    </w:p>
    <w:p w14:paraId="706091D9" w14:textId="43C82034" w:rsidR="00B70FE1" w:rsidRDefault="00B70FE1" w:rsidP="00A4016E">
      <w:pPr>
        <w:spacing w:before="8" w:line="276" w:lineRule="auto"/>
        <w:ind w:left="720" w:right="1320"/>
        <w:jc w:val="both"/>
        <w:rPr>
          <w:rFonts w:ascii="Times New Roman" w:eastAsia="Times New Roman" w:hAnsi="Times New Roman" w:cs="Times New Roman"/>
          <w:sz w:val="24"/>
          <w:szCs w:val="24"/>
        </w:rPr>
      </w:pPr>
    </w:p>
    <w:p w14:paraId="6F8833CB" w14:textId="161CDA7D" w:rsidR="00B70FE1" w:rsidRPr="003F4CE1" w:rsidRDefault="00B70FE1"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JAK1 has the broadest cytokine signaling profile among the different JAK family members and is the only isoform that pairs with all three other family members.</w:t>
      </w:r>
      <w:r w:rsidR="008F2774">
        <w:rPr>
          <w:rFonts w:ascii="Times New Roman" w:eastAsia="Times New Roman" w:hAnsi="Times New Roman" w:cs="Times New Roman"/>
          <w:sz w:val="24"/>
          <w:szCs w:val="24"/>
        </w:rPr>
        <w:t xml:space="preserve">  There are no redundant pathways known for cytokine</w:t>
      </w:r>
      <w:r w:rsidR="00AB044D">
        <w:rPr>
          <w:rFonts w:ascii="Times New Roman" w:eastAsia="Times New Roman" w:hAnsi="Times New Roman" w:cs="Times New Roman"/>
          <w:sz w:val="24"/>
          <w:szCs w:val="24"/>
        </w:rPr>
        <w:t xml:space="preserve">s that signal through JAKs, making this family of proteins very attractive for modulating inflammatory disease.  </w:t>
      </w:r>
      <w:r w:rsidR="00137E71">
        <w:rPr>
          <w:rFonts w:ascii="Times New Roman" w:eastAsia="Times New Roman" w:hAnsi="Times New Roman" w:cs="Times New Roman"/>
          <w:sz w:val="24"/>
          <w:szCs w:val="24"/>
        </w:rPr>
        <w:t>Cytokines important in AD pathogenesis</w:t>
      </w:r>
      <w:r w:rsidR="00DE755F">
        <w:rPr>
          <w:rFonts w:ascii="Times New Roman" w:eastAsia="Times New Roman" w:hAnsi="Times New Roman" w:cs="Times New Roman"/>
          <w:sz w:val="24"/>
          <w:szCs w:val="24"/>
        </w:rPr>
        <w:t>,</w:t>
      </w:r>
      <w:r w:rsidR="00137E71">
        <w:rPr>
          <w:rFonts w:ascii="Times New Roman" w:eastAsia="Times New Roman" w:hAnsi="Times New Roman" w:cs="Times New Roman"/>
          <w:sz w:val="24"/>
          <w:szCs w:val="24"/>
        </w:rPr>
        <w:t xml:space="preserve"> such as IL-4, IL-13, IL-31, IL-22, and TARC signal through JAK-1. </w:t>
      </w:r>
      <w:r w:rsidR="00AB044D">
        <w:rPr>
          <w:rFonts w:ascii="Times New Roman" w:eastAsia="Times New Roman" w:hAnsi="Times New Roman" w:cs="Times New Roman"/>
          <w:sz w:val="24"/>
          <w:szCs w:val="24"/>
        </w:rPr>
        <w:t xml:space="preserve">Tofacitinib </w:t>
      </w:r>
      <w:r w:rsidR="002D5783">
        <w:rPr>
          <w:rFonts w:ascii="Times New Roman" w:eastAsia="Times New Roman" w:hAnsi="Times New Roman" w:cs="Times New Roman"/>
          <w:sz w:val="24"/>
          <w:szCs w:val="24"/>
        </w:rPr>
        <w:t>wa</w:t>
      </w:r>
      <w:r w:rsidR="00AB044D">
        <w:rPr>
          <w:rFonts w:ascii="Times New Roman" w:eastAsia="Times New Roman" w:hAnsi="Times New Roman" w:cs="Times New Roman"/>
          <w:sz w:val="24"/>
          <w:szCs w:val="24"/>
        </w:rPr>
        <w:t xml:space="preserve">s the first JAK inhibitor to be approved for clinical use.  </w:t>
      </w:r>
      <w:r w:rsidR="00597AF6">
        <w:rPr>
          <w:rFonts w:ascii="Times New Roman" w:eastAsia="Times New Roman" w:hAnsi="Times New Roman" w:cs="Times New Roman"/>
          <w:sz w:val="24"/>
          <w:szCs w:val="24"/>
        </w:rPr>
        <w:t xml:space="preserve">Originally developed as a selective JAK3 inhibitor, it was later found to </w:t>
      </w:r>
      <w:r w:rsidR="006946E0">
        <w:rPr>
          <w:rFonts w:ascii="Times New Roman" w:eastAsia="Times New Roman" w:hAnsi="Times New Roman" w:cs="Times New Roman"/>
          <w:sz w:val="24"/>
          <w:szCs w:val="24"/>
        </w:rPr>
        <w:t>be a JAK1 and JAK3 inhibitor</w:t>
      </w:r>
      <w:r w:rsidR="00AE1121">
        <w:rPr>
          <w:rFonts w:ascii="Times New Roman" w:eastAsia="Times New Roman" w:hAnsi="Times New Roman" w:cs="Times New Roman"/>
          <w:sz w:val="24"/>
          <w:szCs w:val="24"/>
        </w:rPr>
        <w:t xml:space="preserve"> with moderate activity on JAK2</w:t>
      </w:r>
      <w:r w:rsidR="00597AF6">
        <w:rPr>
          <w:rFonts w:ascii="Times New Roman" w:eastAsia="Times New Roman" w:hAnsi="Times New Roman" w:cs="Times New Roman"/>
          <w:sz w:val="24"/>
          <w:szCs w:val="24"/>
        </w:rPr>
        <w:t>.</w:t>
      </w:r>
      <w:r w:rsidR="000046EE">
        <w:rPr>
          <w:rFonts w:ascii="Times New Roman" w:eastAsia="Times New Roman" w:hAnsi="Times New Roman" w:cs="Times New Roman"/>
          <w:sz w:val="24"/>
          <w:szCs w:val="24"/>
        </w:rPr>
        <w:t xml:space="preserve">  Residual JAK2 inhibition with tofacitinib </w:t>
      </w:r>
      <w:r w:rsidR="008E0867">
        <w:rPr>
          <w:rFonts w:ascii="Times New Roman" w:eastAsia="Times New Roman" w:hAnsi="Times New Roman" w:cs="Times New Roman"/>
          <w:sz w:val="24"/>
          <w:szCs w:val="24"/>
        </w:rPr>
        <w:t xml:space="preserve">could </w:t>
      </w:r>
      <w:r w:rsidR="000046EE">
        <w:rPr>
          <w:rFonts w:ascii="Times New Roman" w:eastAsia="Times New Roman" w:hAnsi="Times New Roman" w:cs="Times New Roman"/>
          <w:sz w:val="24"/>
          <w:szCs w:val="24"/>
        </w:rPr>
        <w:t xml:space="preserve">result </w:t>
      </w:r>
      <w:r w:rsidR="007960A5">
        <w:rPr>
          <w:rFonts w:ascii="Times New Roman" w:eastAsia="Times New Roman" w:hAnsi="Times New Roman" w:cs="Times New Roman"/>
          <w:sz w:val="24"/>
          <w:szCs w:val="24"/>
        </w:rPr>
        <w:t xml:space="preserve">in potential for anemia and thrombocytopenia at doses higher than indicated, owing to the interference </w:t>
      </w:r>
      <w:r w:rsidR="00744A08">
        <w:rPr>
          <w:rFonts w:ascii="Times New Roman" w:eastAsia="Times New Roman" w:hAnsi="Times New Roman" w:cs="Times New Roman"/>
          <w:sz w:val="24"/>
          <w:szCs w:val="24"/>
        </w:rPr>
        <w:t>with EPO and TPO signaling upon inhibition of JAK2.</w:t>
      </w:r>
      <w:r w:rsidR="007164A3">
        <w:rPr>
          <w:rFonts w:ascii="Times New Roman" w:eastAsia="Times New Roman" w:hAnsi="Times New Roman" w:cs="Times New Roman"/>
          <w:sz w:val="24"/>
          <w:szCs w:val="24"/>
        </w:rPr>
        <w:t xml:space="preserve">  Given the prominent role of JAK1 in inflammatory cytokine signaling, </w:t>
      </w:r>
      <w:r w:rsidR="008E0867">
        <w:rPr>
          <w:rFonts w:ascii="Times New Roman" w:eastAsia="Times New Roman" w:hAnsi="Times New Roman" w:cs="Times New Roman"/>
          <w:sz w:val="24"/>
          <w:szCs w:val="24"/>
        </w:rPr>
        <w:t xml:space="preserve">the team sought </w:t>
      </w:r>
      <w:r w:rsidR="007164A3">
        <w:rPr>
          <w:rFonts w:ascii="Times New Roman" w:eastAsia="Times New Roman" w:hAnsi="Times New Roman" w:cs="Times New Roman"/>
          <w:sz w:val="24"/>
          <w:szCs w:val="24"/>
        </w:rPr>
        <w:t xml:space="preserve">a selective JAK1 inhibitor to </w:t>
      </w:r>
      <w:r w:rsidR="00D16C74">
        <w:rPr>
          <w:rFonts w:ascii="Times New Roman" w:eastAsia="Times New Roman" w:hAnsi="Times New Roman" w:cs="Times New Roman"/>
          <w:sz w:val="24"/>
          <w:szCs w:val="24"/>
        </w:rPr>
        <w:t xml:space="preserve">modulate inflammatory processes involved in dermatitis and arthritis while </w:t>
      </w:r>
      <w:r w:rsidR="00C03BF5">
        <w:rPr>
          <w:rFonts w:ascii="Times New Roman" w:eastAsia="Times New Roman" w:hAnsi="Times New Roman" w:cs="Times New Roman"/>
          <w:sz w:val="24"/>
          <w:szCs w:val="24"/>
        </w:rPr>
        <w:t xml:space="preserve">potentially </w:t>
      </w:r>
      <w:r w:rsidR="008E0867">
        <w:rPr>
          <w:rFonts w:ascii="Times New Roman" w:eastAsia="Times New Roman" w:hAnsi="Times New Roman" w:cs="Times New Roman"/>
          <w:sz w:val="24"/>
          <w:szCs w:val="24"/>
        </w:rPr>
        <w:t xml:space="preserve">reducing </w:t>
      </w:r>
      <w:r w:rsidR="00D16C74">
        <w:rPr>
          <w:rFonts w:ascii="Times New Roman" w:eastAsia="Times New Roman" w:hAnsi="Times New Roman" w:cs="Times New Roman"/>
          <w:sz w:val="24"/>
          <w:szCs w:val="24"/>
        </w:rPr>
        <w:t xml:space="preserve">the hematopoietic effects of JAK2 inhibition.  It was on this basis that the </w:t>
      </w:r>
      <w:proofErr w:type="spellStart"/>
      <w:r w:rsidR="00182E72">
        <w:rPr>
          <w:rFonts w:ascii="Times New Roman" w:eastAsia="Times New Roman" w:hAnsi="Times New Roman" w:cs="Times New Roman"/>
          <w:sz w:val="24"/>
          <w:szCs w:val="24"/>
        </w:rPr>
        <w:t>abrocitinib</w:t>
      </w:r>
      <w:proofErr w:type="spellEnd"/>
      <w:r w:rsidR="00182E72">
        <w:rPr>
          <w:rFonts w:ascii="Times New Roman" w:eastAsia="Times New Roman" w:hAnsi="Times New Roman" w:cs="Times New Roman"/>
          <w:sz w:val="24"/>
          <w:szCs w:val="24"/>
        </w:rPr>
        <w:t xml:space="preserve"> </w:t>
      </w:r>
      <w:r w:rsidR="00D16C74">
        <w:rPr>
          <w:rFonts w:ascii="Times New Roman" w:eastAsia="Times New Roman" w:hAnsi="Times New Roman" w:cs="Times New Roman"/>
          <w:sz w:val="24"/>
          <w:szCs w:val="24"/>
        </w:rPr>
        <w:t>program started.</w:t>
      </w:r>
    </w:p>
    <w:p w14:paraId="4451D059" w14:textId="77777777" w:rsidR="00310C1E" w:rsidRDefault="00310C1E" w:rsidP="006F0982">
      <w:pPr>
        <w:spacing w:before="8" w:line="276" w:lineRule="auto"/>
        <w:ind w:right="1320"/>
        <w:jc w:val="both"/>
        <w:rPr>
          <w:rFonts w:ascii="Times New Roman" w:eastAsia="Times New Roman" w:hAnsi="Times New Roman" w:cs="Times New Roman"/>
          <w:sz w:val="24"/>
          <w:szCs w:val="24"/>
        </w:rPr>
      </w:pPr>
    </w:p>
    <w:p w14:paraId="12131AA8" w14:textId="237D741C" w:rsidR="0057091F" w:rsidRDefault="00A37D88" w:rsidP="00DC5CFE">
      <w:pPr>
        <w:pStyle w:val="Heading1"/>
        <w:spacing w:after="240" w:line="276" w:lineRule="auto"/>
        <w:ind w:left="720" w:right="1320"/>
        <w:jc w:val="both"/>
        <w:rPr>
          <w:sz w:val="24"/>
          <w:szCs w:val="24"/>
        </w:rPr>
      </w:pPr>
      <w:r w:rsidRPr="00697301">
        <w:rPr>
          <w:sz w:val="24"/>
          <w:szCs w:val="24"/>
        </w:rPr>
        <w:t>Development</w:t>
      </w:r>
    </w:p>
    <w:p w14:paraId="3BFE5C32" w14:textId="7B10C4EE" w:rsidR="001B6D54" w:rsidRDefault="00A92222" w:rsidP="001B6D54">
      <w:pPr>
        <w:pStyle w:val="Heading1"/>
        <w:spacing w:after="240" w:line="276" w:lineRule="auto"/>
        <w:ind w:left="720" w:right="1320"/>
        <w:jc w:val="both"/>
        <w:rPr>
          <w:b w:val="0"/>
          <w:bCs w:val="0"/>
          <w:sz w:val="24"/>
          <w:szCs w:val="24"/>
        </w:rPr>
      </w:pPr>
      <w:r>
        <w:rPr>
          <w:b w:val="0"/>
          <w:bCs w:val="0"/>
          <w:sz w:val="24"/>
          <w:szCs w:val="24"/>
        </w:rPr>
        <w:t xml:space="preserve">The </w:t>
      </w:r>
      <w:proofErr w:type="spellStart"/>
      <w:r w:rsidR="00182E72">
        <w:rPr>
          <w:b w:val="0"/>
          <w:bCs w:val="0"/>
          <w:sz w:val="24"/>
          <w:szCs w:val="24"/>
        </w:rPr>
        <w:t>abrocitinib</w:t>
      </w:r>
      <w:proofErr w:type="spellEnd"/>
      <w:r w:rsidR="00182E72">
        <w:rPr>
          <w:b w:val="0"/>
          <w:bCs w:val="0"/>
          <w:sz w:val="24"/>
          <w:szCs w:val="24"/>
        </w:rPr>
        <w:t xml:space="preserve"> </w:t>
      </w:r>
      <w:r w:rsidR="00563B33">
        <w:rPr>
          <w:b w:val="0"/>
          <w:bCs w:val="0"/>
          <w:sz w:val="24"/>
          <w:szCs w:val="24"/>
        </w:rPr>
        <w:t>d</w:t>
      </w:r>
      <w:r w:rsidR="00C6343C">
        <w:rPr>
          <w:b w:val="0"/>
          <w:bCs w:val="0"/>
          <w:sz w:val="24"/>
          <w:szCs w:val="24"/>
        </w:rPr>
        <w:t>evelopment</w:t>
      </w:r>
      <w:r w:rsidR="00563B33">
        <w:rPr>
          <w:b w:val="0"/>
          <w:bCs w:val="0"/>
          <w:sz w:val="24"/>
          <w:szCs w:val="24"/>
        </w:rPr>
        <w:t xml:space="preserve"> program </w:t>
      </w:r>
      <w:r w:rsidR="00526359">
        <w:rPr>
          <w:b w:val="0"/>
          <w:bCs w:val="0"/>
          <w:sz w:val="24"/>
          <w:szCs w:val="24"/>
        </w:rPr>
        <w:t xml:space="preserve">was designed  testing the hypothesis that </w:t>
      </w:r>
      <w:r w:rsidR="0058418D">
        <w:rPr>
          <w:b w:val="0"/>
          <w:bCs w:val="0"/>
          <w:sz w:val="24"/>
          <w:szCs w:val="24"/>
        </w:rPr>
        <w:t xml:space="preserve">strong </w:t>
      </w:r>
      <w:r w:rsidR="005358EA">
        <w:rPr>
          <w:b w:val="0"/>
          <w:bCs w:val="0"/>
          <w:sz w:val="24"/>
          <w:szCs w:val="24"/>
        </w:rPr>
        <w:t>JAK1 inhibition selectivity over JAK2, JAK3 and TYK2</w:t>
      </w:r>
      <w:r w:rsidR="00137E71">
        <w:rPr>
          <w:b w:val="0"/>
          <w:bCs w:val="0"/>
          <w:sz w:val="24"/>
          <w:szCs w:val="24"/>
        </w:rPr>
        <w:t xml:space="preserve"> </w:t>
      </w:r>
      <w:r w:rsidR="001A43C8">
        <w:rPr>
          <w:b w:val="0"/>
          <w:bCs w:val="0"/>
          <w:sz w:val="24"/>
          <w:szCs w:val="24"/>
        </w:rPr>
        <w:t xml:space="preserve">would result in </w:t>
      </w:r>
      <w:r w:rsidR="004869D1">
        <w:rPr>
          <w:b w:val="0"/>
          <w:bCs w:val="0"/>
          <w:sz w:val="24"/>
          <w:szCs w:val="24"/>
        </w:rPr>
        <w:t xml:space="preserve">potent efficacy that minimized the </w:t>
      </w:r>
      <w:r w:rsidR="00805ED7">
        <w:rPr>
          <w:b w:val="0"/>
          <w:bCs w:val="0"/>
          <w:sz w:val="24"/>
          <w:szCs w:val="24"/>
        </w:rPr>
        <w:t xml:space="preserve">occurrence of dose-limiting </w:t>
      </w:r>
      <w:r w:rsidR="004869D1">
        <w:rPr>
          <w:b w:val="0"/>
          <w:bCs w:val="0"/>
          <w:sz w:val="24"/>
          <w:szCs w:val="24"/>
        </w:rPr>
        <w:t xml:space="preserve">hematologic </w:t>
      </w:r>
      <w:proofErr w:type="spellStart"/>
      <w:r w:rsidR="004869D1">
        <w:rPr>
          <w:b w:val="0"/>
          <w:bCs w:val="0"/>
          <w:sz w:val="24"/>
          <w:szCs w:val="24"/>
        </w:rPr>
        <w:t>toxicities</w:t>
      </w:r>
      <w:r w:rsidR="006B7C6C">
        <w:rPr>
          <w:b w:val="0"/>
          <w:bCs w:val="0"/>
          <w:sz w:val="24"/>
          <w:szCs w:val="24"/>
        </w:rPr>
        <w:t>as</w:t>
      </w:r>
      <w:proofErr w:type="spellEnd"/>
      <w:r w:rsidR="006B7C6C">
        <w:rPr>
          <w:b w:val="0"/>
          <w:bCs w:val="0"/>
          <w:sz w:val="24"/>
          <w:szCs w:val="24"/>
        </w:rPr>
        <w:t xml:space="preserve"> mentioned above</w:t>
      </w:r>
      <w:r w:rsidR="005358EA">
        <w:rPr>
          <w:b w:val="0"/>
          <w:bCs w:val="0"/>
          <w:sz w:val="24"/>
          <w:szCs w:val="24"/>
        </w:rPr>
        <w:t xml:space="preserve">.  </w:t>
      </w:r>
      <w:r w:rsidR="009041C5">
        <w:rPr>
          <w:b w:val="0"/>
          <w:bCs w:val="0"/>
          <w:sz w:val="24"/>
          <w:szCs w:val="24"/>
        </w:rPr>
        <w:t xml:space="preserve">The first approved JAK inhibitor, tofacitinib, </w:t>
      </w:r>
      <w:r w:rsidR="00C82C52">
        <w:rPr>
          <w:b w:val="0"/>
          <w:bCs w:val="0"/>
          <w:sz w:val="24"/>
          <w:szCs w:val="24"/>
        </w:rPr>
        <w:t xml:space="preserve">has excellent selectivity for JAK family proteins relative to other kinases in the human </w:t>
      </w:r>
      <w:proofErr w:type="spellStart"/>
      <w:r w:rsidR="00C82C52">
        <w:rPr>
          <w:b w:val="0"/>
          <w:bCs w:val="0"/>
          <w:sz w:val="24"/>
          <w:szCs w:val="24"/>
        </w:rPr>
        <w:t>kinome</w:t>
      </w:r>
      <w:proofErr w:type="spellEnd"/>
      <w:r w:rsidR="00C82C52">
        <w:rPr>
          <w:b w:val="0"/>
          <w:bCs w:val="0"/>
          <w:sz w:val="24"/>
          <w:szCs w:val="24"/>
        </w:rPr>
        <w:t xml:space="preserve">.  </w:t>
      </w:r>
      <w:r w:rsidR="00410976">
        <w:rPr>
          <w:b w:val="0"/>
          <w:bCs w:val="0"/>
          <w:sz w:val="24"/>
          <w:szCs w:val="24"/>
        </w:rPr>
        <w:t xml:space="preserve">Much of this selectivity is attributed to the </w:t>
      </w:r>
      <w:proofErr w:type="spellStart"/>
      <w:r w:rsidR="00410976">
        <w:rPr>
          <w:b w:val="0"/>
          <w:bCs w:val="0"/>
          <w:sz w:val="24"/>
          <w:szCs w:val="24"/>
        </w:rPr>
        <w:t>pyrrolopyrimidine</w:t>
      </w:r>
      <w:proofErr w:type="spellEnd"/>
      <w:r w:rsidR="00410976">
        <w:rPr>
          <w:b w:val="0"/>
          <w:bCs w:val="0"/>
          <w:sz w:val="24"/>
          <w:szCs w:val="24"/>
        </w:rPr>
        <w:t xml:space="preserve"> hinge-binding motif.</w:t>
      </w:r>
      <w:r w:rsidR="00DD2CDF">
        <w:rPr>
          <w:b w:val="0"/>
          <w:bCs w:val="0"/>
          <w:sz w:val="24"/>
          <w:szCs w:val="24"/>
        </w:rPr>
        <w:t xml:space="preserve">  As such, this moiety was retained, and different diamines were surveyed as replacements for the </w:t>
      </w:r>
      <w:r w:rsidR="00E86461">
        <w:rPr>
          <w:b w:val="0"/>
          <w:bCs w:val="0"/>
          <w:sz w:val="24"/>
          <w:szCs w:val="24"/>
        </w:rPr>
        <w:t>3-</w:t>
      </w:r>
      <w:r w:rsidR="00DD2CDF">
        <w:rPr>
          <w:b w:val="0"/>
          <w:bCs w:val="0"/>
          <w:sz w:val="24"/>
          <w:szCs w:val="24"/>
        </w:rPr>
        <w:t>aminopiperidine linker</w:t>
      </w:r>
      <w:r w:rsidR="00E86461">
        <w:rPr>
          <w:b w:val="0"/>
          <w:bCs w:val="0"/>
          <w:sz w:val="24"/>
          <w:szCs w:val="24"/>
        </w:rPr>
        <w:t xml:space="preserve">.  As part of this survey, it was noted that the </w:t>
      </w:r>
      <w:r w:rsidR="00E86461">
        <w:rPr>
          <w:b w:val="0"/>
          <w:bCs w:val="0"/>
          <w:i/>
          <w:iCs/>
          <w:sz w:val="24"/>
          <w:szCs w:val="24"/>
        </w:rPr>
        <w:t>cis</w:t>
      </w:r>
      <w:r w:rsidR="00E86461">
        <w:rPr>
          <w:b w:val="0"/>
          <w:bCs w:val="0"/>
          <w:sz w:val="24"/>
          <w:szCs w:val="24"/>
        </w:rPr>
        <w:t>-1,3-</w:t>
      </w:r>
      <w:r w:rsidR="0023009F">
        <w:rPr>
          <w:b w:val="0"/>
          <w:bCs w:val="0"/>
          <w:sz w:val="24"/>
          <w:szCs w:val="24"/>
        </w:rPr>
        <w:t xml:space="preserve">diaminocylobutane linker </w:t>
      </w:r>
      <w:r w:rsidR="00A71930">
        <w:rPr>
          <w:b w:val="0"/>
          <w:bCs w:val="0"/>
          <w:sz w:val="24"/>
          <w:szCs w:val="24"/>
        </w:rPr>
        <w:t xml:space="preserve">bearing a terminal sulfonamide </w:t>
      </w:r>
      <w:r w:rsidR="0023009F">
        <w:rPr>
          <w:b w:val="0"/>
          <w:bCs w:val="0"/>
          <w:sz w:val="24"/>
          <w:szCs w:val="24"/>
        </w:rPr>
        <w:t xml:space="preserve">conferred excellent potency for JAK1 while demonstrating selectivity for </w:t>
      </w:r>
      <w:r w:rsidR="00A71930">
        <w:rPr>
          <w:b w:val="0"/>
          <w:bCs w:val="0"/>
          <w:sz w:val="24"/>
          <w:szCs w:val="24"/>
        </w:rPr>
        <w:t xml:space="preserve">other JAK family members.  As an example, compound </w:t>
      </w:r>
      <w:r w:rsidR="00A71930">
        <w:rPr>
          <w:sz w:val="24"/>
          <w:szCs w:val="24"/>
        </w:rPr>
        <w:t>2</w:t>
      </w:r>
      <w:r w:rsidR="00A71930">
        <w:rPr>
          <w:b w:val="0"/>
          <w:bCs w:val="0"/>
          <w:sz w:val="24"/>
          <w:szCs w:val="24"/>
        </w:rPr>
        <w:t xml:space="preserve"> demonstrated </w:t>
      </w:r>
      <w:r w:rsidR="00DA32F7">
        <w:rPr>
          <w:b w:val="0"/>
          <w:bCs w:val="0"/>
          <w:sz w:val="24"/>
          <w:szCs w:val="24"/>
        </w:rPr>
        <w:t xml:space="preserve">remarkable JAK1 potency (IC50 = 6 </w:t>
      </w:r>
      <w:proofErr w:type="spellStart"/>
      <w:r w:rsidR="00DA32F7">
        <w:rPr>
          <w:b w:val="0"/>
          <w:bCs w:val="0"/>
          <w:sz w:val="24"/>
          <w:szCs w:val="24"/>
        </w:rPr>
        <w:t>nM</w:t>
      </w:r>
      <w:proofErr w:type="spellEnd"/>
      <w:r w:rsidR="00DA32F7">
        <w:rPr>
          <w:b w:val="0"/>
          <w:bCs w:val="0"/>
          <w:sz w:val="24"/>
          <w:szCs w:val="24"/>
        </w:rPr>
        <w:t>) and selectivity over JAK2 (</w:t>
      </w:r>
      <w:r w:rsidR="002D5783">
        <w:rPr>
          <w:b w:val="0"/>
          <w:bCs w:val="0"/>
          <w:sz w:val="24"/>
          <w:szCs w:val="24"/>
        </w:rPr>
        <w:t>69-fold</w:t>
      </w:r>
      <w:r w:rsidR="00DA32F7">
        <w:rPr>
          <w:b w:val="0"/>
          <w:bCs w:val="0"/>
          <w:sz w:val="24"/>
          <w:szCs w:val="24"/>
        </w:rPr>
        <w:t xml:space="preserve">) </w:t>
      </w:r>
      <w:r w:rsidR="00DE0D89">
        <w:rPr>
          <w:b w:val="0"/>
          <w:bCs w:val="0"/>
          <w:sz w:val="24"/>
          <w:szCs w:val="24"/>
        </w:rPr>
        <w:t>in an in vitro kinase activity assay run</w:t>
      </w:r>
      <w:r w:rsidR="00DA32F7">
        <w:rPr>
          <w:b w:val="0"/>
          <w:bCs w:val="0"/>
          <w:sz w:val="24"/>
          <w:szCs w:val="24"/>
        </w:rPr>
        <w:t xml:space="preserve"> at the physiologically relevant ATP concentration of 1 </w:t>
      </w:r>
      <w:proofErr w:type="spellStart"/>
      <w:r w:rsidR="00DA32F7">
        <w:rPr>
          <w:b w:val="0"/>
          <w:bCs w:val="0"/>
          <w:sz w:val="24"/>
          <w:szCs w:val="24"/>
        </w:rPr>
        <w:t>mM.</w:t>
      </w:r>
      <w:proofErr w:type="spellEnd"/>
      <w:r w:rsidR="00DA32F7">
        <w:rPr>
          <w:b w:val="0"/>
          <w:bCs w:val="0"/>
          <w:sz w:val="24"/>
          <w:szCs w:val="24"/>
        </w:rPr>
        <w:t xml:space="preserve">  </w:t>
      </w:r>
      <w:r w:rsidR="00626FF0">
        <w:rPr>
          <w:b w:val="0"/>
          <w:bCs w:val="0"/>
          <w:sz w:val="24"/>
          <w:szCs w:val="24"/>
        </w:rPr>
        <w:t xml:space="preserve">However, this compound had unacceptably high intrinsic clearance in human liver microsomes.  </w:t>
      </w:r>
      <w:r w:rsidR="00F900C7">
        <w:rPr>
          <w:b w:val="0"/>
          <w:bCs w:val="0"/>
          <w:sz w:val="24"/>
          <w:szCs w:val="24"/>
        </w:rPr>
        <w:t xml:space="preserve">This issue could be addressed by substituting the phenyl sulfonamide for a small alkyl sulfonamide at the expense of JAK1 potency.  </w:t>
      </w:r>
      <w:r w:rsidR="00BB5C7F">
        <w:rPr>
          <w:b w:val="0"/>
          <w:bCs w:val="0"/>
          <w:sz w:val="24"/>
          <w:szCs w:val="24"/>
        </w:rPr>
        <w:t>On the basis of their outstanding JAK1 activity and selectivity, substituted phenyl</w:t>
      </w:r>
      <w:r w:rsidR="005478AE">
        <w:rPr>
          <w:b w:val="0"/>
          <w:bCs w:val="0"/>
          <w:sz w:val="24"/>
          <w:szCs w:val="24"/>
        </w:rPr>
        <w:t xml:space="preserve"> </w:t>
      </w:r>
      <w:r w:rsidR="00BB5C7F">
        <w:rPr>
          <w:b w:val="0"/>
          <w:bCs w:val="0"/>
          <w:sz w:val="24"/>
          <w:szCs w:val="24"/>
        </w:rPr>
        <w:t xml:space="preserve">sulfonamide analogues were </w:t>
      </w:r>
      <w:r w:rsidR="005478AE">
        <w:rPr>
          <w:b w:val="0"/>
          <w:bCs w:val="0"/>
          <w:sz w:val="24"/>
          <w:szCs w:val="24"/>
        </w:rPr>
        <w:t>extensively surveyed.  However, none of these compounds showed acceptable clearance.</w:t>
      </w:r>
      <w:r w:rsidR="000B0C63">
        <w:rPr>
          <w:b w:val="0"/>
          <w:bCs w:val="0"/>
          <w:sz w:val="24"/>
          <w:szCs w:val="24"/>
        </w:rPr>
        <w:t xml:space="preserve">  Notably, the majority of these compounds did not show appreciable activity against JAK3 (IC50 &gt; 8 </w:t>
      </w:r>
      <w:proofErr w:type="spellStart"/>
      <w:r w:rsidR="000B0C63">
        <w:rPr>
          <w:b w:val="0"/>
          <w:bCs w:val="0"/>
          <w:sz w:val="24"/>
          <w:szCs w:val="24"/>
        </w:rPr>
        <w:t>uM</w:t>
      </w:r>
      <w:proofErr w:type="spellEnd"/>
      <w:r w:rsidR="000B0C63">
        <w:rPr>
          <w:b w:val="0"/>
          <w:bCs w:val="0"/>
          <w:sz w:val="24"/>
          <w:szCs w:val="24"/>
        </w:rPr>
        <w:t xml:space="preserve">) and only had modest activity against TYK2 (IC50 </w:t>
      </w:r>
      <w:r w:rsidR="005B4C61">
        <w:rPr>
          <w:b w:val="0"/>
          <w:bCs w:val="0"/>
          <w:sz w:val="24"/>
          <w:szCs w:val="24"/>
        </w:rPr>
        <w:t xml:space="preserve">&gt; </w:t>
      </w:r>
      <w:r w:rsidR="000B0C63">
        <w:rPr>
          <w:b w:val="0"/>
          <w:bCs w:val="0"/>
          <w:sz w:val="24"/>
          <w:szCs w:val="24"/>
        </w:rPr>
        <w:t xml:space="preserve">200 </w:t>
      </w:r>
      <w:proofErr w:type="spellStart"/>
      <w:r w:rsidR="000B0C63">
        <w:rPr>
          <w:b w:val="0"/>
          <w:bCs w:val="0"/>
          <w:sz w:val="24"/>
          <w:szCs w:val="24"/>
        </w:rPr>
        <w:t>nM</w:t>
      </w:r>
      <w:proofErr w:type="spellEnd"/>
      <w:r w:rsidR="000B0C63">
        <w:rPr>
          <w:b w:val="0"/>
          <w:bCs w:val="0"/>
          <w:sz w:val="24"/>
          <w:szCs w:val="24"/>
        </w:rPr>
        <w:t>).</w:t>
      </w:r>
      <w:r w:rsidR="001526E3">
        <w:rPr>
          <w:b w:val="0"/>
          <w:bCs w:val="0"/>
          <w:sz w:val="24"/>
          <w:szCs w:val="24"/>
        </w:rPr>
        <w:t xml:space="preserve">  In order to better estimate the required concentrations for efficacy in vivo, potency measurements were also made in a human whole blood (HWB) assay.  In general, IC50 values were right-shifted 5- to 35-fold in human whole blood owing to the effects of plasma protein binding.</w:t>
      </w:r>
      <w:r w:rsidR="001B6D54">
        <w:rPr>
          <w:b w:val="0"/>
          <w:bCs w:val="0"/>
          <w:sz w:val="24"/>
          <w:szCs w:val="24"/>
        </w:rPr>
        <w:t xml:space="preserve">  Therefore, smaller and less lipophilic sulfonamides were chosen for further medicinal chemistry focus.</w:t>
      </w:r>
    </w:p>
    <w:p w14:paraId="706E23AB" w14:textId="194A99CC" w:rsidR="001C524D" w:rsidRPr="001C524D" w:rsidRDefault="001C524D" w:rsidP="00767D37">
      <w:pPr>
        <w:pStyle w:val="Heading1"/>
        <w:keepNext/>
        <w:keepLines/>
        <w:spacing w:after="240" w:line="276" w:lineRule="auto"/>
        <w:ind w:left="720" w:right="1325"/>
        <w:jc w:val="both"/>
        <w:rPr>
          <w:sz w:val="24"/>
          <w:szCs w:val="24"/>
        </w:rPr>
      </w:pPr>
      <w:r>
        <w:rPr>
          <w:sz w:val="24"/>
          <w:szCs w:val="24"/>
        </w:rPr>
        <w:lastRenderedPageBreak/>
        <w:t>Figure 1</w:t>
      </w:r>
      <w:r w:rsidR="001A1323">
        <w:rPr>
          <w:sz w:val="24"/>
          <w:szCs w:val="24"/>
        </w:rPr>
        <w:t>: Chemical structures of tofacitinib, abrocitinib and key analogues</w:t>
      </w:r>
    </w:p>
    <w:p w14:paraId="7A207411" w14:textId="0C739E45" w:rsidR="001C524D" w:rsidRDefault="00DF7AA3" w:rsidP="001B6D54">
      <w:pPr>
        <w:pStyle w:val="Heading1"/>
        <w:spacing w:after="240" w:line="276" w:lineRule="auto"/>
        <w:ind w:left="720" w:right="1320"/>
        <w:jc w:val="both"/>
        <w:rPr>
          <w:b w:val="0"/>
          <w:bCs w:val="0"/>
          <w:sz w:val="24"/>
          <w:szCs w:val="24"/>
        </w:rPr>
      </w:pPr>
      <w:r>
        <w:object w:dxaOrig="9798" w:dyaOrig="5418" w14:anchorId="4A11A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25pt;height:255.75pt" o:ole="">
            <v:imagedata r:id="rId10" o:title=""/>
          </v:shape>
          <o:OLEObject Type="Embed" ProgID="ChemDraw.Document.6.0" ShapeID="_x0000_i1025" DrawAspect="Content" ObjectID="_1715065921" r:id="rId11"/>
        </w:object>
      </w:r>
    </w:p>
    <w:p w14:paraId="69C8B577" w14:textId="1FF4F916" w:rsidR="005478AE" w:rsidRDefault="004D06BC" w:rsidP="001B6D54">
      <w:pPr>
        <w:pStyle w:val="Heading1"/>
        <w:spacing w:after="240" w:line="276" w:lineRule="auto"/>
        <w:ind w:left="720" w:right="1320"/>
        <w:jc w:val="both"/>
        <w:rPr>
          <w:b w:val="0"/>
          <w:bCs w:val="0"/>
          <w:sz w:val="24"/>
          <w:szCs w:val="24"/>
        </w:rPr>
      </w:pPr>
      <w:r>
        <w:rPr>
          <w:b w:val="0"/>
          <w:bCs w:val="0"/>
          <w:sz w:val="24"/>
          <w:szCs w:val="24"/>
        </w:rPr>
        <w:t xml:space="preserve">Additional modifications to the sulfonamide linker included </w:t>
      </w:r>
      <w:proofErr w:type="spellStart"/>
      <w:r>
        <w:rPr>
          <w:b w:val="0"/>
          <w:bCs w:val="0"/>
          <w:sz w:val="24"/>
          <w:szCs w:val="24"/>
        </w:rPr>
        <w:t>sulfamide</w:t>
      </w:r>
      <w:proofErr w:type="spellEnd"/>
      <w:r>
        <w:rPr>
          <w:b w:val="0"/>
          <w:bCs w:val="0"/>
          <w:sz w:val="24"/>
          <w:szCs w:val="24"/>
        </w:rPr>
        <w:t xml:space="preserve">, sulfone and reverse sulfonamide linkers.  </w:t>
      </w:r>
      <w:proofErr w:type="spellStart"/>
      <w:r w:rsidR="006162E5">
        <w:rPr>
          <w:b w:val="0"/>
          <w:bCs w:val="0"/>
          <w:sz w:val="24"/>
          <w:szCs w:val="24"/>
        </w:rPr>
        <w:t>Sulfamide</w:t>
      </w:r>
      <w:proofErr w:type="spellEnd"/>
      <w:r w:rsidR="006162E5">
        <w:rPr>
          <w:b w:val="0"/>
          <w:bCs w:val="0"/>
          <w:sz w:val="24"/>
          <w:szCs w:val="24"/>
        </w:rPr>
        <w:t xml:space="preserve"> analogues such as </w:t>
      </w:r>
      <w:r w:rsidR="006162E5">
        <w:rPr>
          <w:sz w:val="24"/>
          <w:szCs w:val="24"/>
        </w:rPr>
        <w:t>3</w:t>
      </w:r>
      <w:r w:rsidR="0007444C">
        <w:rPr>
          <w:sz w:val="24"/>
          <w:szCs w:val="24"/>
        </w:rPr>
        <w:t xml:space="preserve"> </w:t>
      </w:r>
      <w:r w:rsidR="0007444C">
        <w:rPr>
          <w:b w:val="0"/>
          <w:bCs w:val="0"/>
          <w:sz w:val="24"/>
          <w:szCs w:val="24"/>
        </w:rPr>
        <w:t>demonstrated good JAK1 activity (</w:t>
      </w:r>
      <w:r w:rsidR="00323A1C">
        <w:rPr>
          <w:b w:val="0"/>
          <w:bCs w:val="0"/>
          <w:sz w:val="24"/>
          <w:szCs w:val="24"/>
        </w:rPr>
        <w:t xml:space="preserve">IC50 = 51 </w:t>
      </w:r>
      <w:proofErr w:type="spellStart"/>
      <w:r w:rsidR="00323A1C">
        <w:rPr>
          <w:b w:val="0"/>
          <w:bCs w:val="0"/>
          <w:sz w:val="24"/>
          <w:szCs w:val="24"/>
        </w:rPr>
        <w:t>nM</w:t>
      </w:r>
      <w:proofErr w:type="spellEnd"/>
      <w:r w:rsidR="00323A1C">
        <w:rPr>
          <w:b w:val="0"/>
          <w:bCs w:val="0"/>
          <w:sz w:val="24"/>
          <w:szCs w:val="24"/>
        </w:rPr>
        <w:t xml:space="preserve">), JAK2 selectivity (21x) and human liver microsome </w:t>
      </w:r>
      <w:r w:rsidR="00EA79A3">
        <w:rPr>
          <w:b w:val="0"/>
          <w:bCs w:val="0"/>
          <w:sz w:val="24"/>
          <w:szCs w:val="24"/>
        </w:rPr>
        <w:t xml:space="preserve">apparent </w:t>
      </w:r>
      <w:r w:rsidR="00323A1C">
        <w:rPr>
          <w:b w:val="0"/>
          <w:bCs w:val="0"/>
          <w:sz w:val="24"/>
          <w:szCs w:val="24"/>
        </w:rPr>
        <w:t xml:space="preserve">intrinsic clearance (10 </w:t>
      </w:r>
      <w:proofErr w:type="spellStart"/>
      <w:r w:rsidR="00323A1C">
        <w:rPr>
          <w:b w:val="0"/>
          <w:bCs w:val="0"/>
          <w:sz w:val="24"/>
          <w:szCs w:val="24"/>
        </w:rPr>
        <w:t>uL</w:t>
      </w:r>
      <w:proofErr w:type="spellEnd"/>
      <w:r w:rsidR="00323A1C">
        <w:rPr>
          <w:b w:val="0"/>
          <w:bCs w:val="0"/>
          <w:sz w:val="24"/>
          <w:szCs w:val="24"/>
        </w:rPr>
        <w:t xml:space="preserve">/min/mg).  </w:t>
      </w:r>
      <w:r w:rsidR="00F67F4D">
        <w:rPr>
          <w:b w:val="0"/>
          <w:bCs w:val="0"/>
          <w:sz w:val="24"/>
          <w:szCs w:val="24"/>
        </w:rPr>
        <w:t xml:space="preserve">Smaller </w:t>
      </w:r>
      <w:proofErr w:type="spellStart"/>
      <w:r w:rsidR="00F67F4D">
        <w:rPr>
          <w:b w:val="0"/>
          <w:bCs w:val="0"/>
          <w:sz w:val="24"/>
          <w:szCs w:val="24"/>
        </w:rPr>
        <w:t>sulfamide</w:t>
      </w:r>
      <w:proofErr w:type="spellEnd"/>
      <w:r w:rsidR="00F67F4D">
        <w:rPr>
          <w:b w:val="0"/>
          <w:bCs w:val="0"/>
          <w:sz w:val="24"/>
          <w:szCs w:val="24"/>
        </w:rPr>
        <w:t xml:space="preserve"> substituents generally showed poorer JAK1 </w:t>
      </w:r>
      <w:r w:rsidR="002D5783">
        <w:rPr>
          <w:b w:val="0"/>
          <w:bCs w:val="0"/>
          <w:sz w:val="24"/>
          <w:szCs w:val="24"/>
        </w:rPr>
        <w:t>potency and</w:t>
      </w:r>
      <w:r w:rsidR="00F67F4D">
        <w:rPr>
          <w:b w:val="0"/>
          <w:bCs w:val="0"/>
          <w:sz w:val="24"/>
          <w:szCs w:val="24"/>
        </w:rPr>
        <w:t xml:space="preserve"> attempts to extend the </w:t>
      </w:r>
      <w:proofErr w:type="spellStart"/>
      <w:r w:rsidR="00F67F4D">
        <w:rPr>
          <w:b w:val="0"/>
          <w:bCs w:val="0"/>
          <w:sz w:val="24"/>
          <w:szCs w:val="24"/>
        </w:rPr>
        <w:t>sulfamide</w:t>
      </w:r>
      <w:proofErr w:type="spellEnd"/>
      <w:r w:rsidR="00F67F4D">
        <w:rPr>
          <w:b w:val="0"/>
          <w:bCs w:val="0"/>
          <w:sz w:val="24"/>
          <w:szCs w:val="24"/>
        </w:rPr>
        <w:t xml:space="preserve"> substituent further resulted in </w:t>
      </w:r>
      <w:r w:rsidR="00897749">
        <w:rPr>
          <w:b w:val="0"/>
          <w:bCs w:val="0"/>
          <w:sz w:val="24"/>
          <w:szCs w:val="24"/>
        </w:rPr>
        <w:t xml:space="preserve">lower metabolic stability.    Sulfone replacements </w:t>
      </w:r>
      <w:r w:rsidR="007D4985">
        <w:rPr>
          <w:b w:val="0"/>
          <w:bCs w:val="0"/>
          <w:sz w:val="24"/>
          <w:szCs w:val="24"/>
        </w:rPr>
        <w:t xml:space="preserve">led to improved JAK1 potency relative to the corresponding </w:t>
      </w:r>
      <w:proofErr w:type="spellStart"/>
      <w:r w:rsidR="007D4985">
        <w:rPr>
          <w:b w:val="0"/>
          <w:bCs w:val="0"/>
          <w:sz w:val="24"/>
          <w:szCs w:val="24"/>
        </w:rPr>
        <w:t>sulfamides</w:t>
      </w:r>
      <w:proofErr w:type="spellEnd"/>
      <w:r w:rsidR="006B3BCE">
        <w:rPr>
          <w:b w:val="0"/>
          <w:bCs w:val="0"/>
          <w:sz w:val="24"/>
          <w:szCs w:val="24"/>
        </w:rPr>
        <w:t>, but only larger sulfone substituents conferred appreciable JAK2 potency.</w:t>
      </w:r>
      <w:r w:rsidR="005D7D43">
        <w:rPr>
          <w:b w:val="0"/>
          <w:bCs w:val="0"/>
          <w:sz w:val="24"/>
          <w:szCs w:val="24"/>
        </w:rPr>
        <w:t xml:space="preserve">  The </w:t>
      </w:r>
      <w:r w:rsidR="005D7D43">
        <w:rPr>
          <w:b w:val="0"/>
          <w:bCs w:val="0"/>
          <w:i/>
          <w:iCs/>
          <w:sz w:val="24"/>
          <w:szCs w:val="24"/>
        </w:rPr>
        <w:t>n</w:t>
      </w:r>
      <w:r w:rsidR="005D7D43">
        <w:rPr>
          <w:b w:val="0"/>
          <w:bCs w:val="0"/>
          <w:sz w:val="24"/>
          <w:szCs w:val="24"/>
        </w:rPr>
        <w:t xml:space="preserve">-butyl analogue </w:t>
      </w:r>
      <w:r w:rsidR="005D7D43">
        <w:rPr>
          <w:sz w:val="24"/>
          <w:szCs w:val="24"/>
        </w:rPr>
        <w:t>4</w:t>
      </w:r>
      <w:r w:rsidR="005D7D43">
        <w:rPr>
          <w:b w:val="0"/>
          <w:bCs w:val="0"/>
          <w:sz w:val="24"/>
          <w:szCs w:val="24"/>
        </w:rPr>
        <w:t xml:space="preserve"> demonstrated potent JAK1 inhibition (IC50 = </w:t>
      </w:r>
      <w:r w:rsidR="004A18E4">
        <w:rPr>
          <w:b w:val="0"/>
          <w:bCs w:val="0"/>
          <w:sz w:val="24"/>
          <w:szCs w:val="24"/>
        </w:rPr>
        <w:t xml:space="preserve">9 </w:t>
      </w:r>
      <w:proofErr w:type="spellStart"/>
      <w:r w:rsidR="004A18E4">
        <w:rPr>
          <w:b w:val="0"/>
          <w:bCs w:val="0"/>
          <w:sz w:val="24"/>
          <w:szCs w:val="24"/>
        </w:rPr>
        <w:t>nM</w:t>
      </w:r>
      <w:proofErr w:type="spellEnd"/>
      <w:r w:rsidR="004A18E4">
        <w:rPr>
          <w:b w:val="0"/>
          <w:bCs w:val="0"/>
          <w:sz w:val="24"/>
          <w:szCs w:val="24"/>
        </w:rPr>
        <w:t xml:space="preserve">), 24-fold JAK2 selectivity and modest </w:t>
      </w:r>
      <w:r w:rsidR="00EA79A3">
        <w:rPr>
          <w:b w:val="0"/>
          <w:bCs w:val="0"/>
          <w:sz w:val="24"/>
          <w:szCs w:val="24"/>
        </w:rPr>
        <w:t xml:space="preserve">apparent </w:t>
      </w:r>
      <w:r w:rsidR="004A18E4">
        <w:rPr>
          <w:b w:val="0"/>
          <w:bCs w:val="0"/>
          <w:sz w:val="24"/>
          <w:szCs w:val="24"/>
        </w:rPr>
        <w:t xml:space="preserve">intrinsic clearance in human liver microsomes.  </w:t>
      </w:r>
      <w:r w:rsidR="00513AC4">
        <w:rPr>
          <w:b w:val="0"/>
          <w:bCs w:val="0"/>
          <w:sz w:val="24"/>
          <w:szCs w:val="24"/>
        </w:rPr>
        <w:t xml:space="preserve">When assessed in a human whole blood cytokine release assay, this compound demonstrated potent </w:t>
      </w:r>
      <w:r w:rsidR="004C1D5D">
        <w:rPr>
          <w:b w:val="0"/>
          <w:bCs w:val="0"/>
          <w:sz w:val="24"/>
          <w:szCs w:val="24"/>
        </w:rPr>
        <w:t>activity against IFN</w:t>
      </w:r>
      <w:r w:rsidR="004C1D5D" w:rsidRPr="00973379">
        <w:rPr>
          <w:rFonts w:ascii="Symbol" w:hAnsi="Symbol"/>
          <w:b w:val="0"/>
          <w:bCs w:val="0"/>
          <w:sz w:val="24"/>
          <w:szCs w:val="24"/>
        </w:rPr>
        <w:t>a</w:t>
      </w:r>
      <w:r w:rsidR="004C1D5D">
        <w:rPr>
          <w:b w:val="0"/>
          <w:bCs w:val="0"/>
          <w:sz w:val="24"/>
          <w:szCs w:val="24"/>
        </w:rPr>
        <w:t xml:space="preserve"> (155 </w:t>
      </w:r>
      <w:proofErr w:type="spellStart"/>
      <w:r w:rsidR="004C1D5D">
        <w:rPr>
          <w:b w:val="0"/>
          <w:bCs w:val="0"/>
          <w:sz w:val="24"/>
          <w:szCs w:val="24"/>
        </w:rPr>
        <w:t>nM</w:t>
      </w:r>
      <w:proofErr w:type="spellEnd"/>
      <w:r w:rsidR="004C1D5D">
        <w:rPr>
          <w:b w:val="0"/>
          <w:bCs w:val="0"/>
          <w:sz w:val="24"/>
          <w:szCs w:val="24"/>
        </w:rPr>
        <w:t xml:space="preserve">) and good selectivity vs. EPO (4.1 </w:t>
      </w:r>
      <w:proofErr w:type="spellStart"/>
      <w:r w:rsidR="004C1D5D">
        <w:rPr>
          <w:b w:val="0"/>
          <w:bCs w:val="0"/>
          <w:sz w:val="24"/>
          <w:szCs w:val="24"/>
        </w:rPr>
        <w:t>uM</w:t>
      </w:r>
      <w:proofErr w:type="spellEnd"/>
      <w:r w:rsidR="004C1D5D">
        <w:rPr>
          <w:b w:val="0"/>
          <w:bCs w:val="0"/>
          <w:sz w:val="24"/>
          <w:szCs w:val="24"/>
        </w:rPr>
        <w:t>).</w:t>
      </w:r>
      <w:r w:rsidR="00AC42C5">
        <w:rPr>
          <w:b w:val="0"/>
          <w:bCs w:val="0"/>
          <w:sz w:val="24"/>
          <w:szCs w:val="24"/>
        </w:rPr>
        <w:t xml:space="preserve">  Reverse sulfonamide analogues such as </w:t>
      </w:r>
      <w:r w:rsidR="005B1A6C">
        <w:rPr>
          <w:sz w:val="24"/>
          <w:szCs w:val="24"/>
        </w:rPr>
        <w:t>5</w:t>
      </w:r>
      <w:r w:rsidR="005B1A6C">
        <w:rPr>
          <w:b w:val="0"/>
          <w:bCs w:val="0"/>
          <w:sz w:val="24"/>
          <w:szCs w:val="24"/>
        </w:rPr>
        <w:t xml:space="preserve"> also demonstrated good JAK1 activity (IC50 = 11 </w:t>
      </w:r>
      <w:proofErr w:type="spellStart"/>
      <w:r w:rsidR="005B1A6C">
        <w:rPr>
          <w:b w:val="0"/>
          <w:bCs w:val="0"/>
          <w:sz w:val="24"/>
          <w:szCs w:val="24"/>
        </w:rPr>
        <w:t>nM</w:t>
      </w:r>
      <w:proofErr w:type="spellEnd"/>
      <w:r w:rsidR="005B1A6C">
        <w:rPr>
          <w:b w:val="0"/>
          <w:bCs w:val="0"/>
          <w:sz w:val="24"/>
          <w:szCs w:val="24"/>
        </w:rPr>
        <w:t>) and JAK2 selectivity (</w:t>
      </w:r>
      <w:r w:rsidR="00F245F2">
        <w:rPr>
          <w:b w:val="0"/>
          <w:bCs w:val="0"/>
          <w:sz w:val="24"/>
          <w:szCs w:val="24"/>
        </w:rPr>
        <w:t>18</w:t>
      </w:r>
      <w:r w:rsidR="005B1A6C">
        <w:rPr>
          <w:b w:val="0"/>
          <w:bCs w:val="0"/>
          <w:sz w:val="24"/>
          <w:szCs w:val="24"/>
        </w:rPr>
        <w:t xml:space="preserve">x) but required larger substituents to deliver </w:t>
      </w:r>
      <w:r w:rsidR="00F83C7F">
        <w:rPr>
          <w:b w:val="0"/>
          <w:bCs w:val="0"/>
          <w:sz w:val="24"/>
          <w:szCs w:val="24"/>
        </w:rPr>
        <w:t>this profile at the expense of metabolic stability.</w:t>
      </w:r>
    </w:p>
    <w:p w14:paraId="14E73FEE" w14:textId="4236A485" w:rsidR="00F83C7F" w:rsidRDefault="0032442F" w:rsidP="001B6D54">
      <w:pPr>
        <w:pStyle w:val="Heading1"/>
        <w:spacing w:after="240" w:line="276" w:lineRule="auto"/>
        <w:ind w:left="720" w:right="1320"/>
        <w:jc w:val="both"/>
        <w:rPr>
          <w:b w:val="0"/>
          <w:bCs w:val="0"/>
          <w:sz w:val="24"/>
          <w:szCs w:val="24"/>
        </w:rPr>
      </w:pPr>
      <w:r>
        <w:rPr>
          <w:b w:val="0"/>
          <w:bCs w:val="0"/>
          <w:sz w:val="24"/>
          <w:szCs w:val="24"/>
        </w:rPr>
        <w:t xml:space="preserve">Collecting all observations of potency, selectivity and metabolic stability from these analogues </w:t>
      </w:r>
      <w:r w:rsidR="00DC3038">
        <w:rPr>
          <w:b w:val="0"/>
          <w:bCs w:val="0"/>
          <w:sz w:val="24"/>
          <w:szCs w:val="24"/>
        </w:rPr>
        <w:t xml:space="preserve">generally revealed that alkyl sulfonamides delivered the best </w:t>
      </w:r>
      <w:proofErr w:type="spellStart"/>
      <w:r w:rsidR="00DC3038">
        <w:rPr>
          <w:b w:val="0"/>
          <w:bCs w:val="0"/>
          <w:sz w:val="24"/>
          <w:szCs w:val="24"/>
        </w:rPr>
        <w:t>selectivities</w:t>
      </w:r>
      <w:proofErr w:type="spellEnd"/>
      <w:r w:rsidR="00DC3038">
        <w:rPr>
          <w:b w:val="0"/>
          <w:bCs w:val="0"/>
          <w:sz w:val="24"/>
          <w:szCs w:val="24"/>
        </w:rPr>
        <w:t xml:space="preserve"> for </w:t>
      </w:r>
      <w:r w:rsidR="00541F63">
        <w:rPr>
          <w:b w:val="0"/>
          <w:bCs w:val="0"/>
          <w:sz w:val="24"/>
          <w:szCs w:val="24"/>
        </w:rPr>
        <w:t xml:space="preserve">JAK1, larger substituents were preferred for selectivity, and compounds with </w:t>
      </w:r>
      <w:proofErr w:type="spellStart"/>
      <w:r w:rsidR="00541F63">
        <w:rPr>
          <w:b w:val="0"/>
          <w:bCs w:val="0"/>
          <w:sz w:val="24"/>
          <w:szCs w:val="24"/>
        </w:rPr>
        <w:t>LogD</w:t>
      </w:r>
      <w:proofErr w:type="spellEnd"/>
      <w:r w:rsidR="00541F63">
        <w:rPr>
          <w:b w:val="0"/>
          <w:bCs w:val="0"/>
          <w:sz w:val="24"/>
          <w:szCs w:val="24"/>
        </w:rPr>
        <w:t xml:space="preserve"> &lt; 2.0 delivered acceptable metabolic stability.  </w:t>
      </w:r>
      <w:r w:rsidR="004E749D">
        <w:rPr>
          <w:b w:val="0"/>
          <w:bCs w:val="0"/>
          <w:sz w:val="24"/>
          <w:szCs w:val="24"/>
        </w:rPr>
        <w:t xml:space="preserve">Moreover, crystal structures were obtained for </w:t>
      </w:r>
      <w:r w:rsidR="008D5657">
        <w:rPr>
          <w:b w:val="0"/>
          <w:bCs w:val="0"/>
          <w:sz w:val="24"/>
          <w:szCs w:val="24"/>
        </w:rPr>
        <w:t xml:space="preserve">one of the simple </w:t>
      </w:r>
      <w:r w:rsidR="00182E72">
        <w:rPr>
          <w:b w:val="0"/>
          <w:bCs w:val="0"/>
          <w:sz w:val="24"/>
          <w:szCs w:val="24"/>
        </w:rPr>
        <w:t xml:space="preserve">sulfonamide </w:t>
      </w:r>
      <w:r w:rsidR="008D5657">
        <w:rPr>
          <w:b w:val="0"/>
          <w:bCs w:val="0"/>
          <w:sz w:val="24"/>
          <w:szCs w:val="24"/>
        </w:rPr>
        <w:t xml:space="preserve">analogues of </w:t>
      </w:r>
      <w:r w:rsidR="00182E72">
        <w:rPr>
          <w:sz w:val="24"/>
          <w:szCs w:val="24"/>
        </w:rPr>
        <w:t>2</w:t>
      </w:r>
      <w:r w:rsidR="00182E72">
        <w:rPr>
          <w:b w:val="0"/>
          <w:bCs w:val="0"/>
          <w:sz w:val="24"/>
          <w:szCs w:val="24"/>
        </w:rPr>
        <w:t xml:space="preserve"> </w:t>
      </w:r>
      <w:r w:rsidR="00743DFF">
        <w:rPr>
          <w:b w:val="0"/>
          <w:bCs w:val="0"/>
          <w:sz w:val="24"/>
          <w:szCs w:val="24"/>
        </w:rPr>
        <w:t xml:space="preserve">(compound </w:t>
      </w:r>
      <w:r w:rsidR="00743DFF" w:rsidRPr="00743DFF">
        <w:rPr>
          <w:sz w:val="24"/>
          <w:szCs w:val="24"/>
        </w:rPr>
        <w:t>7</w:t>
      </w:r>
      <w:r w:rsidR="00743DFF">
        <w:rPr>
          <w:b w:val="0"/>
          <w:bCs w:val="0"/>
          <w:sz w:val="24"/>
          <w:szCs w:val="24"/>
        </w:rPr>
        <w:t xml:space="preserve">) </w:t>
      </w:r>
      <w:r w:rsidR="008D5657" w:rsidRPr="00743DFF">
        <w:rPr>
          <w:b w:val="0"/>
          <w:bCs w:val="0"/>
          <w:sz w:val="24"/>
          <w:szCs w:val="24"/>
        </w:rPr>
        <w:t>bound</w:t>
      </w:r>
      <w:r w:rsidR="008D5657">
        <w:rPr>
          <w:b w:val="0"/>
          <w:bCs w:val="0"/>
          <w:sz w:val="24"/>
          <w:szCs w:val="24"/>
        </w:rPr>
        <w:t xml:space="preserve"> to JAK1 and to JAK2.  </w:t>
      </w:r>
      <w:r w:rsidR="00EF6074">
        <w:rPr>
          <w:b w:val="0"/>
          <w:bCs w:val="0"/>
          <w:sz w:val="24"/>
          <w:szCs w:val="24"/>
        </w:rPr>
        <w:t xml:space="preserve">The co-structure with JAK1 is shown in </w:t>
      </w:r>
      <w:r w:rsidR="00EA0F0F">
        <w:rPr>
          <w:b w:val="0"/>
          <w:bCs w:val="0"/>
          <w:sz w:val="24"/>
          <w:szCs w:val="24"/>
        </w:rPr>
        <w:t>Figure 1</w:t>
      </w:r>
      <w:r w:rsidR="00EF6074">
        <w:rPr>
          <w:b w:val="0"/>
          <w:bCs w:val="0"/>
          <w:sz w:val="24"/>
          <w:szCs w:val="24"/>
        </w:rPr>
        <w:t xml:space="preserve"> and reveals an important hydrogen bond interaction between the sulfonamide NH group </w:t>
      </w:r>
      <w:r w:rsidR="003B1F47">
        <w:rPr>
          <w:b w:val="0"/>
          <w:bCs w:val="0"/>
          <w:sz w:val="24"/>
          <w:szCs w:val="24"/>
        </w:rPr>
        <w:t>and the carbonyl groups of Asn1008</w:t>
      </w:r>
      <w:r w:rsidR="00A25650">
        <w:rPr>
          <w:b w:val="0"/>
          <w:bCs w:val="0"/>
          <w:sz w:val="24"/>
          <w:szCs w:val="24"/>
        </w:rPr>
        <w:t xml:space="preserve"> as well </w:t>
      </w:r>
      <w:r w:rsidR="00A25650">
        <w:rPr>
          <w:b w:val="0"/>
          <w:bCs w:val="0"/>
          <w:sz w:val="24"/>
          <w:szCs w:val="24"/>
        </w:rPr>
        <w:lastRenderedPageBreak/>
        <w:t xml:space="preserve">as a water mediated hydrogen bond between the </w:t>
      </w:r>
      <w:proofErr w:type="spellStart"/>
      <w:r w:rsidR="002958B2">
        <w:rPr>
          <w:b w:val="0"/>
          <w:bCs w:val="0"/>
          <w:sz w:val="24"/>
          <w:szCs w:val="24"/>
        </w:rPr>
        <w:t>pyrrolopyrimidine</w:t>
      </w:r>
      <w:proofErr w:type="spellEnd"/>
      <w:r w:rsidR="002958B2">
        <w:rPr>
          <w:b w:val="0"/>
          <w:bCs w:val="0"/>
          <w:sz w:val="24"/>
          <w:szCs w:val="24"/>
        </w:rPr>
        <w:t xml:space="preserve"> </w:t>
      </w:r>
      <w:r w:rsidR="00A25650">
        <w:rPr>
          <w:b w:val="0"/>
          <w:bCs w:val="0"/>
          <w:sz w:val="24"/>
          <w:szCs w:val="24"/>
        </w:rPr>
        <w:t xml:space="preserve">group and </w:t>
      </w:r>
      <w:r w:rsidR="003F07E8">
        <w:rPr>
          <w:b w:val="0"/>
          <w:bCs w:val="0"/>
          <w:sz w:val="24"/>
          <w:szCs w:val="24"/>
        </w:rPr>
        <w:t>the sidechain of Glu966.</w:t>
      </w:r>
      <w:r w:rsidR="00B36CC7">
        <w:rPr>
          <w:b w:val="0"/>
          <w:bCs w:val="0"/>
          <w:sz w:val="24"/>
          <w:szCs w:val="24"/>
        </w:rPr>
        <w:t xml:space="preserve">  This residue is different in JAK2 (Asp939) and therefore requires a more extended network of water molecules to </w:t>
      </w:r>
      <w:r w:rsidR="008D2B81">
        <w:rPr>
          <w:b w:val="0"/>
          <w:bCs w:val="0"/>
          <w:sz w:val="24"/>
          <w:szCs w:val="24"/>
        </w:rPr>
        <w:t xml:space="preserve">make the interaction with the </w:t>
      </w:r>
      <w:proofErr w:type="spellStart"/>
      <w:r w:rsidR="008D2B81">
        <w:rPr>
          <w:b w:val="0"/>
          <w:bCs w:val="0"/>
          <w:sz w:val="24"/>
          <w:szCs w:val="24"/>
        </w:rPr>
        <w:t>pyrrolopyrimidine</w:t>
      </w:r>
      <w:proofErr w:type="spellEnd"/>
      <w:r w:rsidR="008D2B81">
        <w:rPr>
          <w:b w:val="0"/>
          <w:bCs w:val="0"/>
          <w:sz w:val="24"/>
          <w:szCs w:val="24"/>
        </w:rPr>
        <w:t xml:space="preserve">.  </w:t>
      </w:r>
      <w:r w:rsidR="004367BB">
        <w:rPr>
          <w:b w:val="0"/>
          <w:bCs w:val="0"/>
          <w:sz w:val="24"/>
          <w:szCs w:val="24"/>
        </w:rPr>
        <w:t xml:space="preserve">Moreover, in JAK2 there is a unique water-mediated hydrogen bond between the ligand sulfonamide S=O group and </w:t>
      </w:r>
      <w:r w:rsidR="00AD09C1">
        <w:rPr>
          <w:b w:val="0"/>
          <w:bCs w:val="0"/>
          <w:sz w:val="24"/>
          <w:szCs w:val="24"/>
        </w:rPr>
        <w:t>Lys 857</w:t>
      </w:r>
      <w:r w:rsidR="004D3B8F">
        <w:rPr>
          <w:b w:val="0"/>
          <w:bCs w:val="0"/>
          <w:sz w:val="24"/>
          <w:szCs w:val="24"/>
        </w:rPr>
        <w:t xml:space="preserve">.  </w:t>
      </w:r>
      <w:r w:rsidR="001D0165">
        <w:rPr>
          <w:b w:val="0"/>
          <w:bCs w:val="0"/>
          <w:sz w:val="24"/>
          <w:szCs w:val="24"/>
        </w:rPr>
        <w:t xml:space="preserve">Using this structural information, polar substituents were </w:t>
      </w:r>
      <w:r w:rsidR="00ED1820">
        <w:rPr>
          <w:b w:val="0"/>
          <w:bCs w:val="0"/>
          <w:sz w:val="24"/>
          <w:szCs w:val="24"/>
        </w:rPr>
        <w:t xml:space="preserve">incorporated on the sulfonamide aliphatic chain.  The best of these derivatives is the nitrile </w:t>
      </w:r>
      <w:r w:rsidR="00ED1820">
        <w:rPr>
          <w:sz w:val="24"/>
          <w:szCs w:val="24"/>
        </w:rPr>
        <w:t>6</w:t>
      </w:r>
      <w:r w:rsidR="00ED1820">
        <w:rPr>
          <w:b w:val="0"/>
          <w:bCs w:val="0"/>
          <w:sz w:val="24"/>
          <w:szCs w:val="24"/>
        </w:rPr>
        <w:t xml:space="preserve">, which </w:t>
      </w:r>
      <w:r w:rsidR="00BE7A87">
        <w:rPr>
          <w:b w:val="0"/>
          <w:bCs w:val="0"/>
          <w:sz w:val="24"/>
          <w:szCs w:val="24"/>
        </w:rPr>
        <w:t xml:space="preserve">exhibited 15 </w:t>
      </w:r>
      <w:proofErr w:type="spellStart"/>
      <w:r w:rsidR="00BE7A87">
        <w:rPr>
          <w:b w:val="0"/>
          <w:bCs w:val="0"/>
          <w:sz w:val="24"/>
          <w:szCs w:val="24"/>
        </w:rPr>
        <w:t>nM</w:t>
      </w:r>
      <w:proofErr w:type="spellEnd"/>
      <w:r w:rsidR="00BE7A87">
        <w:rPr>
          <w:b w:val="0"/>
          <w:bCs w:val="0"/>
          <w:sz w:val="24"/>
          <w:szCs w:val="24"/>
        </w:rPr>
        <w:t xml:space="preserve"> activity against JAK1, </w:t>
      </w:r>
      <w:r w:rsidR="00D26BB2">
        <w:rPr>
          <w:b w:val="0"/>
          <w:bCs w:val="0"/>
          <w:sz w:val="24"/>
          <w:szCs w:val="24"/>
        </w:rPr>
        <w:t>63x selectivity vs. JAK2 and low intrinsic metabolic clearance (&lt;8 ul/min/mg).</w:t>
      </w:r>
      <w:r w:rsidR="007F3B54">
        <w:rPr>
          <w:b w:val="0"/>
          <w:bCs w:val="0"/>
          <w:sz w:val="24"/>
          <w:szCs w:val="24"/>
        </w:rPr>
        <w:t xml:space="preserve">  Its potency in the HWB IFN</w:t>
      </w:r>
      <w:r w:rsidR="007F3B54" w:rsidRPr="00D15002">
        <w:rPr>
          <w:rFonts w:ascii="Symbol" w:hAnsi="Symbol"/>
          <w:b w:val="0"/>
          <w:bCs w:val="0"/>
          <w:sz w:val="24"/>
          <w:szCs w:val="24"/>
        </w:rPr>
        <w:t>a</w:t>
      </w:r>
      <w:r w:rsidR="007F3B54">
        <w:rPr>
          <w:b w:val="0"/>
          <w:bCs w:val="0"/>
          <w:sz w:val="24"/>
          <w:szCs w:val="24"/>
        </w:rPr>
        <w:t xml:space="preserve"> assay (IC50 = 220 </w:t>
      </w:r>
      <w:proofErr w:type="spellStart"/>
      <w:r w:rsidR="007F3B54">
        <w:rPr>
          <w:b w:val="0"/>
          <w:bCs w:val="0"/>
          <w:sz w:val="24"/>
          <w:szCs w:val="24"/>
        </w:rPr>
        <w:t>nM</w:t>
      </w:r>
      <w:proofErr w:type="spellEnd"/>
      <w:r w:rsidR="007F3B54">
        <w:rPr>
          <w:b w:val="0"/>
          <w:bCs w:val="0"/>
          <w:sz w:val="24"/>
          <w:szCs w:val="24"/>
        </w:rPr>
        <w:t>)</w:t>
      </w:r>
      <w:r w:rsidR="00586489">
        <w:rPr>
          <w:b w:val="0"/>
          <w:bCs w:val="0"/>
          <w:sz w:val="24"/>
          <w:szCs w:val="24"/>
        </w:rPr>
        <w:t xml:space="preserve"> and was well separated from EPO activity (IC50 &gt; 7 </w:t>
      </w:r>
      <w:proofErr w:type="spellStart"/>
      <w:r w:rsidR="00586489">
        <w:rPr>
          <w:b w:val="0"/>
          <w:bCs w:val="0"/>
          <w:sz w:val="24"/>
          <w:szCs w:val="24"/>
        </w:rPr>
        <w:t>uM</w:t>
      </w:r>
      <w:proofErr w:type="spellEnd"/>
      <w:r w:rsidR="00586489">
        <w:rPr>
          <w:b w:val="0"/>
          <w:bCs w:val="0"/>
          <w:sz w:val="24"/>
          <w:szCs w:val="24"/>
        </w:rPr>
        <w:t>).</w:t>
      </w:r>
      <w:r w:rsidR="00756ED8">
        <w:rPr>
          <w:b w:val="0"/>
          <w:bCs w:val="0"/>
          <w:sz w:val="24"/>
          <w:szCs w:val="24"/>
        </w:rPr>
        <w:t xml:space="preserve">  </w:t>
      </w:r>
      <w:r w:rsidR="000658F0">
        <w:rPr>
          <w:b w:val="0"/>
          <w:bCs w:val="0"/>
          <w:sz w:val="24"/>
          <w:szCs w:val="24"/>
        </w:rPr>
        <w:t xml:space="preserve">The corresponding unsubstituted compound </w:t>
      </w:r>
      <w:r w:rsidR="000658F0">
        <w:rPr>
          <w:sz w:val="24"/>
          <w:szCs w:val="24"/>
        </w:rPr>
        <w:t>7</w:t>
      </w:r>
      <w:r w:rsidR="000658F0">
        <w:rPr>
          <w:b w:val="0"/>
          <w:bCs w:val="0"/>
          <w:sz w:val="24"/>
          <w:szCs w:val="24"/>
        </w:rPr>
        <w:t xml:space="preserve"> </w:t>
      </w:r>
      <w:r w:rsidR="006C4974">
        <w:rPr>
          <w:b w:val="0"/>
          <w:bCs w:val="0"/>
          <w:sz w:val="24"/>
          <w:szCs w:val="24"/>
        </w:rPr>
        <w:t xml:space="preserve">exhibited comparable JAK1 potency (IC50 = 29 </w:t>
      </w:r>
      <w:proofErr w:type="spellStart"/>
      <w:r w:rsidR="006C4974">
        <w:rPr>
          <w:b w:val="0"/>
          <w:bCs w:val="0"/>
          <w:sz w:val="24"/>
          <w:szCs w:val="24"/>
        </w:rPr>
        <w:t>nM</w:t>
      </w:r>
      <w:proofErr w:type="spellEnd"/>
      <w:r w:rsidR="006C4974">
        <w:rPr>
          <w:b w:val="0"/>
          <w:bCs w:val="0"/>
          <w:sz w:val="24"/>
          <w:szCs w:val="24"/>
        </w:rPr>
        <w:t>), JAK2 selectivity (28x)</w:t>
      </w:r>
      <w:r w:rsidR="00305FBF">
        <w:rPr>
          <w:b w:val="0"/>
          <w:bCs w:val="0"/>
          <w:sz w:val="24"/>
          <w:szCs w:val="24"/>
        </w:rPr>
        <w:t xml:space="preserve"> HWB IFN</w:t>
      </w:r>
      <w:r w:rsidR="00305FBF" w:rsidRPr="00EB05A3">
        <w:rPr>
          <w:rFonts w:ascii="Symbol" w:hAnsi="Symbol"/>
          <w:b w:val="0"/>
          <w:bCs w:val="0"/>
          <w:sz w:val="24"/>
          <w:szCs w:val="24"/>
        </w:rPr>
        <w:t>a</w:t>
      </w:r>
      <w:r w:rsidR="00305FBF">
        <w:rPr>
          <w:b w:val="0"/>
          <w:bCs w:val="0"/>
          <w:sz w:val="24"/>
          <w:szCs w:val="24"/>
        </w:rPr>
        <w:t xml:space="preserve"> activity (IC50 = 190 </w:t>
      </w:r>
      <w:proofErr w:type="spellStart"/>
      <w:r w:rsidR="00305FBF">
        <w:rPr>
          <w:b w:val="0"/>
          <w:bCs w:val="0"/>
          <w:sz w:val="24"/>
          <w:szCs w:val="24"/>
        </w:rPr>
        <w:t>nM</w:t>
      </w:r>
      <w:proofErr w:type="spellEnd"/>
      <w:r w:rsidR="00305FBF">
        <w:rPr>
          <w:b w:val="0"/>
          <w:bCs w:val="0"/>
          <w:sz w:val="24"/>
          <w:szCs w:val="24"/>
        </w:rPr>
        <w:t xml:space="preserve">) and selectivity vs. EPO pSTAT3 signaling </w:t>
      </w:r>
      <w:r w:rsidR="00EB05A3">
        <w:rPr>
          <w:b w:val="0"/>
          <w:bCs w:val="0"/>
          <w:sz w:val="24"/>
          <w:szCs w:val="24"/>
        </w:rPr>
        <w:t xml:space="preserve">in HWB </w:t>
      </w:r>
      <w:r w:rsidR="00305FBF">
        <w:rPr>
          <w:b w:val="0"/>
          <w:bCs w:val="0"/>
          <w:sz w:val="24"/>
          <w:szCs w:val="24"/>
        </w:rPr>
        <w:t>(</w:t>
      </w:r>
      <w:r w:rsidR="00EB05A3">
        <w:rPr>
          <w:b w:val="0"/>
          <w:bCs w:val="0"/>
          <w:sz w:val="24"/>
          <w:szCs w:val="24"/>
        </w:rPr>
        <w:t xml:space="preserve">IC50 = 7.2 </w:t>
      </w:r>
      <w:proofErr w:type="spellStart"/>
      <w:r w:rsidR="00EB05A3">
        <w:rPr>
          <w:b w:val="0"/>
          <w:bCs w:val="0"/>
          <w:sz w:val="24"/>
          <w:szCs w:val="24"/>
        </w:rPr>
        <w:t>uM</w:t>
      </w:r>
      <w:proofErr w:type="spellEnd"/>
      <w:r w:rsidR="00EB05A3">
        <w:rPr>
          <w:b w:val="0"/>
          <w:bCs w:val="0"/>
          <w:sz w:val="24"/>
          <w:szCs w:val="24"/>
        </w:rPr>
        <w:t xml:space="preserve">).  </w:t>
      </w:r>
      <w:r w:rsidR="00756ED8">
        <w:rPr>
          <w:b w:val="0"/>
          <w:bCs w:val="0"/>
          <w:sz w:val="24"/>
          <w:szCs w:val="24"/>
        </w:rPr>
        <w:t xml:space="preserve"> </w:t>
      </w:r>
      <w:r w:rsidR="00EB05A3">
        <w:rPr>
          <w:b w:val="0"/>
          <w:bCs w:val="0"/>
          <w:sz w:val="24"/>
          <w:szCs w:val="24"/>
        </w:rPr>
        <w:t>These two compounds were compared</w:t>
      </w:r>
      <w:r w:rsidR="0067043F">
        <w:rPr>
          <w:b w:val="0"/>
          <w:bCs w:val="0"/>
          <w:sz w:val="24"/>
          <w:szCs w:val="24"/>
        </w:rPr>
        <w:t xml:space="preserve"> in rat PK and in vivo efficacy studies.  </w:t>
      </w:r>
      <w:r w:rsidR="00993170">
        <w:rPr>
          <w:b w:val="0"/>
          <w:bCs w:val="0"/>
          <w:sz w:val="24"/>
          <w:szCs w:val="24"/>
        </w:rPr>
        <w:t xml:space="preserve">In these studies, compound </w:t>
      </w:r>
      <w:r w:rsidR="00993170">
        <w:rPr>
          <w:sz w:val="24"/>
          <w:szCs w:val="24"/>
        </w:rPr>
        <w:t>7</w:t>
      </w:r>
      <w:r w:rsidR="00993170">
        <w:rPr>
          <w:b w:val="0"/>
          <w:bCs w:val="0"/>
          <w:sz w:val="24"/>
          <w:szCs w:val="24"/>
        </w:rPr>
        <w:t xml:space="preserve"> showed superior in vivo clearance</w:t>
      </w:r>
      <w:r w:rsidR="00281117">
        <w:rPr>
          <w:b w:val="0"/>
          <w:bCs w:val="0"/>
          <w:sz w:val="24"/>
          <w:szCs w:val="24"/>
        </w:rPr>
        <w:t xml:space="preserve"> and bioavailability, resulting in lower human dose projections than </w:t>
      </w:r>
      <w:r w:rsidR="00281117">
        <w:rPr>
          <w:sz w:val="24"/>
          <w:szCs w:val="24"/>
        </w:rPr>
        <w:t>6</w:t>
      </w:r>
      <w:r w:rsidR="00281117">
        <w:rPr>
          <w:b w:val="0"/>
          <w:bCs w:val="0"/>
          <w:sz w:val="24"/>
          <w:szCs w:val="24"/>
        </w:rPr>
        <w:t xml:space="preserve">.  </w:t>
      </w:r>
      <w:r w:rsidR="00005AF6">
        <w:rPr>
          <w:b w:val="0"/>
          <w:bCs w:val="0"/>
          <w:sz w:val="24"/>
          <w:szCs w:val="24"/>
        </w:rPr>
        <w:t xml:space="preserve">Compound </w:t>
      </w:r>
      <w:r w:rsidR="00005AF6">
        <w:rPr>
          <w:sz w:val="24"/>
          <w:szCs w:val="24"/>
        </w:rPr>
        <w:t>7</w:t>
      </w:r>
      <w:r w:rsidR="00005AF6">
        <w:rPr>
          <w:b w:val="0"/>
          <w:bCs w:val="0"/>
          <w:sz w:val="24"/>
          <w:szCs w:val="24"/>
        </w:rPr>
        <w:t xml:space="preserve"> also showed good permeability and solubility in in vitro assays.  </w:t>
      </w:r>
      <w:r w:rsidR="0012516A">
        <w:rPr>
          <w:b w:val="0"/>
          <w:bCs w:val="0"/>
          <w:sz w:val="24"/>
          <w:szCs w:val="24"/>
        </w:rPr>
        <w:t xml:space="preserve">The in vivo PK-PD relationship was </w:t>
      </w:r>
      <w:r w:rsidR="009B645A">
        <w:rPr>
          <w:b w:val="0"/>
          <w:bCs w:val="0"/>
          <w:sz w:val="24"/>
          <w:szCs w:val="24"/>
        </w:rPr>
        <w:t xml:space="preserve">characterized upon oral dosing in naïve Lewis rats.  The inhibition of pSTAT3 formation induced by </w:t>
      </w:r>
      <w:r w:rsidR="008B1A08">
        <w:rPr>
          <w:b w:val="0"/>
          <w:bCs w:val="0"/>
          <w:sz w:val="24"/>
          <w:szCs w:val="24"/>
        </w:rPr>
        <w:t>IFN</w:t>
      </w:r>
      <w:r w:rsidR="008B1A08" w:rsidRPr="00EA0F0F">
        <w:rPr>
          <w:rFonts w:ascii="Symbol" w:hAnsi="Symbol"/>
          <w:b w:val="0"/>
          <w:bCs w:val="0"/>
          <w:sz w:val="24"/>
          <w:szCs w:val="24"/>
        </w:rPr>
        <w:t>g</w:t>
      </w:r>
      <w:r w:rsidR="008B1A08">
        <w:rPr>
          <w:b w:val="0"/>
          <w:bCs w:val="0"/>
          <w:sz w:val="24"/>
          <w:szCs w:val="24"/>
        </w:rPr>
        <w:t xml:space="preserve">, IL-21 and IL-6 was directly linked to compound concentration and was not time dependent.  The calculated unbound plasma IC50 values were 190 </w:t>
      </w:r>
      <w:proofErr w:type="spellStart"/>
      <w:r w:rsidR="008B1A08">
        <w:rPr>
          <w:b w:val="0"/>
          <w:bCs w:val="0"/>
          <w:sz w:val="24"/>
          <w:szCs w:val="24"/>
        </w:rPr>
        <w:t>nM</w:t>
      </w:r>
      <w:proofErr w:type="spellEnd"/>
      <w:r w:rsidR="008B1A08">
        <w:rPr>
          <w:b w:val="0"/>
          <w:bCs w:val="0"/>
          <w:sz w:val="24"/>
          <w:szCs w:val="24"/>
        </w:rPr>
        <w:t xml:space="preserve">, 940 </w:t>
      </w:r>
      <w:proofErr w:type="spellStart"/>
      <w:r w:rsidR="008B1A08">
        <w:rPr>
          <w:b w:val="0"/>
          <w:bCs w:val="0"/>
          <w:sz w:val="24"/>
          <w:szCs w:val="24"/>
        </w:rPr>
        <w:t>nM</w:t>
      </w:r>
      <w:proofErr w:type="spellEnd"/>
      <w:r w:rsidR="008B1A08">
        <w:rPr>
          <w:b w:val="0"/>
          <w:bCs w:val="0"/>
          <w:sz w:val="24"/>
          <w:szCs w:val="24"/>
        </w:rPr>
        <w:t xml:space="preserve"> and 180 </w:t>
      </w:r>
      <w:proofErr w:type="spellStart"/>
      <w:r w:rsidR="008B1A08">
        <w:rPr>
          <w:b w:val="0"/>
          <w:bCs w:val="0"/>
          <w:sz w:val="24"/>
          <w:szCs w:val="24"/>
        </w:rPr>
        <w:t>nM</w:t>
      </w:r>
      <w:proofErr w:type="spellEnd"/>
      <w:r w:rsidR="008B1A08">
        <w:rPr>
          <w:b w:val="0"/>
          <w:bCs w:val="0"/>
          <w:sz w:val="24"/>
          <w:szCs w:val="24"/>
        </w:rPr>
        <w:t xml:space="preserve"> respectively. </w:t>
      </w:r>
      <w:r w:rsidR="00E24C41">
        <w:rPr>
          <w:b w:val="0"/>
          <w:bCs w:val="0"/>
          <w:sz w:val="24"/>
          <w:szCs w:val="24"/>
        </w:rPr>
        <w:t xml:space="preserve"> This compound was also active in a rat model of adjuvant induced arthritis </w:t>
      </w:r>
      <w:r w:rsidR="003A08D7">
        <w:rPr>
          <w:b w:val="0"/>
          <w:bCs w:val="0"/>
          <w:sz w:val="24"/>
          <w:szCs w:val="24"/>
        </w:rPr>
        <w:t xml:space="preserve">with a Cave50 of 1.3 </w:t>
      </w:r>
      <w:proofErr w:type="spellStart"/>
      <w:r w:rsidR="003A08D7">
        <w:rPr>
          <w:b w:val="0"/>
          <w:bCs w:val="0"/>
          <w:sz w:val="24"/>
          <w:szCs w:val="24"/>
        </w:rPr>
        <w:t>uM</w:t>
      </w:r>
      <w:proofErr w:type="spellEnd"/>
      <w:r w:rsidR="003A08D7">
        <w:rPr>
          <w:b w:val="0"/>
          <w:bCs w:val="0"/>
          <w:sz w:val="24"/>
          <w:szCs w:val="24"/>
        </w:rPr>
        <w:t xml:space="preserve">.  </w:t>
      </w:r>
      <w:r w:rsidR="004559AD">
        <w:rPr>
          <w:b w:val="0"/>
          <w:bCs w:val="0"/>
          <w:sz w:val="24"/>
          <w:szCs w:val="24"/>
        </w:rPr>
        <w:t xml:space="preserve">Extensive characterization of kinase selectivity and JAK/STAT signaling activity revealed an excellent profile at the project human dose of 200 mg to deliver </w:t>
      </w:r>
      <w:r w:rsidR="00C963D3">
        <w:rPr>
          <w:b w:val="0"/>
          <w:bCs w:val="0"/>
          <w:sz w:val="24"/>
          <w:szCs w:val="24"/>
        </w:rPr>
        <w:t xml:space="preserve">average JAK1 inhibition of 80% over the dosing interval as shown in Figure 2.  </w:t>
      </w:r>
      <w:r w:rsidR="00005AF6" w:rsidRPr="00207074">
        <w:rPr>
          <w:b w:val="0"/>
          <w:bCs w:val="0"/>
          <w:sz w:val="24"/>
          <w:szCs w:val="24"/>
        </w:rPr>
        <w:t>On</w:t>
      </w:r>
      <w:r w:rsidR="00005AF6">
        <w:rPr>
          <w:b w:val="0"/>
          <w:bCs w:val="0"/>
          <w:sz w:val="24"/>
          <w:szCs w:val="24"/>
        </w:rPr>
        <w:t xml:space="preserve"> the basis of these observations, compound </w:t>
      </w:r>
      <w:r w:rsidR="00005AF6">
        <w:rPr>
          <w:sz w:val="24"/>
          <w:szCs w:val="24"/>
        </w:rPr>
        <w:t>7</w:t>
      </w:r>
      <w:r w:rsidR="00005AF6">
        <w:rPr>
          <w:b w:val="0"/>
          <w:bCs w:val="0"/>
          <w:sz w:val="24"/>
          <w:szCs w:val="24"/>
        </w:rPr>
        <w:t xml:space="preserve"> </w:t>
      </w:r>
      <w:r w:rsidR="00C963D3">
        <w:rPr>
          <w:b w:val="0"/>
          <w:bCs w:val="0"/>
          <w:sz w:val="24"/>
          <w:szCs w:val="24"/>
        </w:rPr>
        <w:t xml:space="preserve">(abrocitinib) </w:t>
      </w:r>
      <w:r w:rsidR="00005AF6">
        <w:rPr>
          <w:b w:val="0"/>
          <w:bCs w:val="0"/>
          <w:sz w:val="24"/>
          <w:szCs w:val="24"/>
        </w:rPr>
        <w:t>was selected for clinical development.</w:t>
      </w:r>
    </w:p>
    <w:p w14:paraId="60B469D3" w14:textId="5B023CBC" w:rsidR="00DF7AA3" w:rsidRPr="00DF7AA3" w:rsidRDefault="00DF7AA3" w:rsidP="00767D37">
      <w:pPr>
        <w:pStyle w:val="Heading1"/>
        <w:keepNext/>
        <w:keepLines/>
        <w:spacing w:after="240" w:line="276" w:lineRule="auto"/>
        <w:ind w:left="720" w:right="1325"/>
        <w:jc w:val="both"/>
      </w:pPr>
      <w:r>
        <w:rPr>
          <w:sz w:val="24"/>
          <w:szCs w:val="24"/>
        </w:rPr>
        <w:lastRenderedPageBreak/>
        <w:t xml:space="preserve">Figure 2: </w:t>
      </w:r>
      <w:r w:rsidR="00C81DF8">
        <w:rPr>
          <w:sz w:val="24"/>
          <w:szCs w:val="24"/>
        </w:rPr>
        <w:t xml:space="preserve">Selectivity profile for the 200 mg abrocitinib dose </w:t>
      </w:r>
      <w:r w:rsidR="00CF1622">
        <w:rPr>
          <w:sz w:val="24"/>
          <w:szCs w:val="24"/>
        </w:rPr>
        <w:t>relative to cytokine signaling through different JAK family members.</w:t>
      </w:r>
    </w:p>
    <w:p w14:paraId="1E958F86" w14:textId="3CF5096B" w:rsidR="00DE75CE" w:rsidRDefault="00DE75CE" w:rsidP="00DE75CE">
      <w:pPr>
        <w:pStyle w:val="Heading1"/>
        <w:spacing w:after="240" w:line="276" w:lineRule="auto"/>
        <w:ind w:left="720" w:right="1320"/>
        <w:jc w:val="center"/>
        <w:rPr>
          <w:b w:val="0"/>
          <w:bCs w:val="0"/>
          <w:sz w:val="24"/>
          <w:szCs w:val="24"/>
        </w:rPr>
      </w:pPr>
      <w:r>
        <w:rPr>
          <w:noProof/>
        </w:rPr>
        <w:drawing>
          <wp:inline distT="0" distB="0" distL="0" distR="0" wp14:anchorId="1F7725C4" wp14:editId="1A6B97C6">
            <wp:extent cx="4070350" cy="3385242"/>
            <wp:effectExtent l="0" t="0" r="635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78289" cy="3391845"/>
                    </a:xfrm>
                    <a:prstGeom prst="rect">
                      <a:avLst/>
                    </a:prstGeom>
                  </pic:spPr>
                </pic:pic>
              </a:graphicData>
            </a:graphic>
          </wp:inline>
        </w:drawing>
      </w:r>
    </w:p>
    <w:p w14:paraId="78A8C17D" w14:textId="23F6E094" w:rsidR="002E1952" w:rsidRDefault="00BC268D" w:rsidP="00A76113">
      <w:pPr>
        <w:pStyle w:val="Heading1"/>
        <w:spacing w:after="240" w:line="276" w:lineRule="auto"/>
        <w:ind w:left="720" w:right="1320"/>
        <w:jc w:val="both"/>
        <w:rPr>
          <w:b w:val="0"/>
          <w:bCs w:val="0"/>
          <w:sz w:val="24"/>
          <w:szCs w:val="24"/>
        </w:rPr>
      </w:pPr>
      <w:r>
        <w:rPr>
          <w:b w:val="0"/>
          <w:bCs w:val="0"/>
          <w:sz w:val="24"/>
          <w:szCs w:val="24"/>
        </w:rPr>
        <w:t xml:space="preserve">The safety, tolerability and pharmacokinetics of abrocitinib were evaluated in a Phase 1 </w:t>
      </w:r>
      <w:r w:rsidR="0034409E">
        <w:rPr>
          <w:b w:val="0"/>
          <w:bCs w:val="0"/>
          <w:sz w:val="24"/>
          <w:szCs w:val="24"/>
        </w:rPr>
        <w:t>study including 79 healthy participants.</w:t>
      </w:r>
      <w:r w:rsidR="00297C16">
        <w:rPr>
          <w:b w:val="0"/>
          <w:bCs w:val="0"/>
          <w:sz w:val="24"/>
          <w:szCs w:val="24"/>
        </w:rPr>
        <w:t xml:space="preserve">  </w:t>
      </w:r>
      <w:r w:rsidR="00B01707">
        <w:rPr>
          <w:b w:val="0"/>
          <w:bCs w:val="0"/>
          <w:sz w:val="24"/>
          <w:szCs w:val="24"/>
        </w:rPr>
        <w:t>There were no serious adverse event</w:t>
      </w:r>
      <w:r w:rsidR="00B91D35">
        <w:rPr>
          <w:b w:val="0"/>
          <w:bCs w:val="0"/>
          <w:sz w:val="24"/>
          <w:szCs w:val="24"/>
        </w:rPr>
        <w:t>s</w:t>
      </w:r>
      <w:r w:rsidR="00B01707">
        <w:rPr>
          <w:b w:val="0"/>
          <w:bCs w:val="0"/>
          <w:sz w:val="24"/>
          <w:szCs w:val="24"/>
        </w:rPr>
        <w:t>; headache (16.4%), nausea (</w:t>
      </w:r>
      <w:r w:rsidR="00025CE1">
        <w:rPr>
          <w:b w:val="0"/>
          <w:bCs w:val="0"/>
          <w:sz w:val="24"/>
          <w:szCs w:val="24"/>
        </w:rPr>
        <w:t xml:space="preserve">13.9%) and diarrhea (13.9%) were the most frequent treatment-emergent adverse events.  Elevated HDL and LDL cholesterol were noted </w:t>
      </w:r>
      <w:r w:rsidR="00D57DBC">
        <w:rPr>
          <w:b w:val="0"/>
          <w:bCs w:val="0"/>
          <w:sz w:val="24"/>
          <w:szCs w:val="24"/>
        </w:rPr>
        <w:t>in some subjects.</w:t>
      </w:r>
      <w:r w:rsidR="00EA00C9">
        <w:rPr>
          <w:b w:val="0"/>
          <w:bCs w:val="0"/>
          <w:sz w:val="24"/>
          <w:szCs w:val="24"/>
        </w:rPr>
        <w:t xml:space="preserve"> </w:t>
      </w:r>
      <w:r w:rsidR="00DD2722">
        <w:rPr>
          <w:b w:val="0"/>
          <w:bCs w:val="0"/>
          <w:sz w:val="24"/>
          <w:szCs w:val="24"/>
        </w:rPr>
        <w:t xml:space="preserve">A Phase 2 study in psoriasis showed that abrocitinib at doses of 400 mg QD and especially at 200 mg BID was associated with hematologic toxicities. </w:t>
      </w:r>
      <w:r w:rsidR="00EA00C9">
        <w:rPr>
          <w:b w:val="0"/>
          <w:bCs w:val="0"/>
          <w:sz w:val="24"/>
          <w:szCs w:val="24"/>
        </w:rPr>
        <w:t xml:space="preserve"> In a </w:t>
      </w:r>
      <w:r w:rsidR="00EF57BC">
        <w:rPr>
          <w:b w:val="0"/>
          <w:bCs w:val="0"/>
          <w:sz w:val="24"/>
          <w:szCs w:val="24"/>
        </w:rPr>
        <w:t>12-week</w:t>
      </w:r>
      <w:r w:rsidR="00EA00C9">
        <w:rPr>
          <w:b w:val="0"/>
          <w:bCs w:val="0"/>
          <w:sz w:val="24"/>
          <w:szCs w:val="24"/>
        </w:rPr>
        <w:t xml:space="preserve"> Phase 2b AD trial</w:t>
      </w:r>
      <w:r w:rsidR="004352F6">
        <w:rPr>
          <w:b w:val="0"/>
          <w:bCs w:val="0"/>
          <w:sz w:val="24"/>
          <w:szCs w:val="24"/>
        </w:rPr>
        <w:t xml:space="preserve">, safety and efficacy were evaluated in 267 patients with moderate to severe AD who had a contraindication or inadequate response </w:t>
      </w:r>
      <w:r w:rsidR="009201BB">
        <w:rPr>
          <w:b w:val="0"/>
          <w:bCs w:val="0"/>
          <w:sz w:val="24"/>
          <w:szCs w:val="24"/>
        </w:rPr>
        <w:t>to topical medications for at least 4 weeks of the prior 12 months</w:t>
      </w:r>
      <w:r w:rsidR="00DD2722">
        <w:rPr>
          <w:b w:val="0"/>
          <w:bCs w:val="0"/>
          <w:sz w:val="24"/>
          <w:szCs w:val="24"/>
        </w:rPr>
        <w:t xml:space="preserve"> using 200 mg QD as maximal dose</w:t>
      </w:r>
      <w:r w:rsidR="009201BB">
        <w:rPr>
          <w:b w:val="0"/>
          <w:bCs w:val="0"/>
          <w:sz w:val="24"/>
          <w:szCs w:val="24"/>
        </w:rPr>
        <w:t>.  At week 12</w:t>
      </w:r>
      <w:r w:rsidR="00177046">
        <w:rPr>
          <w:b w:val="0"/>
          <w:bCs w:val="0"/>
          <w:sz w:val="24"/>
          <w:szCs w:val="24"/>
        </w:rPr>
        <w:t xml:space="preserve">, 43.8% of patients receiving </w:t>
      </w:r>
      <w:r w:rsidR="00132A24">
        <w:rPr>
          <w:b w:val="0"/>
          <w:bCs w:val="0"/>
          <w:sz w:val="24"/>
          <w:szCs w:val="24"/>
        </w:rPr>
        <w:t xml:space="preserve">QD 200 mg </w:t>
      </w:r>
      <w:proofErr w:type="spellStart"/>
      <w:r w:rsidR="00132A24">
        <w:rPr>
          <w:b w:val="0"/>
          <w:bCs w:val="0"/>
          <w:sz w:val="24"/>
          <w:szCs w:val="24"/>
        </w:rPr>
        <w:t>abrocitinib</w:t>
      </w:r>
      <w:proofErr w:type="spellEnd"/>
      <w:r w:rsidR="00132A24">
        <w:rPr>
          <w:b w:val="0"/>
          <w:bCs w:val="0"/>
          <w:sz w:val="24"/>
          <w:szCs w:val="24"/>
        </w:rPr>
        <w:t xml:space="preserve"> showed clear or almost clear on the </w:t>
      </w:r>
      <w:r w:rsidR="00C71156">
        <w:rPr>
          <w:b w:val="0"/>
          <w:bCs w:val="0"/>
          <w:sz w:val="24"/>
          <w:szCs w:val="24"/>
        </w:rPr>
        <w:t>I</w:t>
      </w:r>
      <w:r w:rsidR="00132A24">
        <w:rPr>
          <w:b w:val="0"/>
          <w:bCs w:val="0"/>
          <w:sz w:val="24"/>
          <w:szCs w:val="24"/>
        </w:rPr>
        <w:t>nvestigator’s</w:t>
      </w:r>
      <w:r w:rsidR="00C71156">
        <w:rPr>
          <w:b w:val="0"/>
          <w:bCs w:val="0"/>
          <w:sz w:val="24"/>
          <w:szCs w:val="24"/>
        </w:rPr>
        <w:t xml:space="preserve"> Global Assessment with improvement of two or more grades from baseline.</w:t>
      </w:r>
      <w:r w:rsidR="00A9375F">
        <w:rPr>
          <w:b w:val="0"/>
          <w:bCs w:val="0"/>
          <w:sz w:val="24"/>
          <w:szCs w:val="24"/>
        </w:rPr>
        <w:t xml:space="preserve">  Upper respiratory tract infections, headache, nausea, </w:t>
      </w:r>
      <w:r w:rsidR="005709B0">
        <w:rPr>
          <w:b w:val="0"/>
          <w:bCs w:val="0"/>
          <w:sz w:val="24"/>
          <w:szCs w:val="24"/>
        </w:rPr>
        <w:t xml:space="preserve">dermatitis atopic and diarrhea were the most frequent TEAEs.  Hematologic abnormalities of reduced platelet counts were noted </w:t>
      </w:r>
      <w:r w:rsidR="00D81A9B">
        <w:rPr>
          <w:b w:val="0"/>
          <w:bCs w:val="0"/>
          <w:sz w:val="24"/>
          <w:szCs w:val="24"/>
        </w:rPr>
        <w:t>in the 200 mg and 100 mg groups, which trended toward normalization after 4 weeks with continued treatment.</w:t>
      </w:r>
    </w:p>
    <w:p w14:paraId="5E78EA67" w14:textId="5666059E" w:rsidR="00566C1D" w:rsidRDefault="00F31BC9" w:rsidP="00A76113">
      <w:pPr>
        <w:pStyle w:val="Heading1"/>
        <w:spacing w:after="240" w:line="276" w:lineRule="auto"/>
        <w:ind w:left="720" w:right="1320"/>
        <w:jc w:val="both"/>
        <w:rPr>
          <w:b w:val="0"/>
          <w:bCs w:val="0"/>
          <w:sz w:val="24"/>
          <w:szCs w:val="24"/>
        </w:rPr>
      </w:pPr>
      <w:r>
        <w:rPr>
          <w:b w:val="0"/>
          <w:bCs w:val="0"/>
          <w:sz w:val="24"/>
          <w:szCs w:val="24"/>
        </w:rPr>
        <w:t xml:space="preserve">On the basis of these observations, abrocitinib </w:t>
      </w:r>
      <w:r w:rsidR="00EF57BC">
        <w:rPr>
          <w:b w:val="0"/>
          <w:bCs w:val="0"/>
          <w:sz w:val="24"/>
          <w:szCs w:val="24"/>
        </w:rPr>
        <w:t xml:space="preserve">alone </w:t>
      </w:r>
      <w:r>
        <w:rPr>
          <w:b w:val="0"/>
          <w:bCs w:val="0"/>
          <w:sz w:val="24"/>
          <w:szCs w:val="24"/>
        </w:rPr>
        <w:t>was evaluated in two 12-week Phase 3 studies  (</w:t>
      </w:r>
      <w:r w:rsidR="00566C1D">
        <w:rPr>
          <w:b w:val="0"/>
          <w:bCs w:val="0"/>
          <w:sz w:val="24"/>
          <w:szCs w:val="24"/>
        </w:rPr>
        <w:t>JADE MONO-1 and JADE MONO-2</w:t>
      </w:r>
      <w:r>
        <w:rPr>
          <w:b w:val="0"/>
          <w:bCs w:val="0"/>
          <w:sz w:val="24"/>
          <w:szCs w:val="24"/>
        </w:rPr>
        <w:t>)</w:t>
      </w:r>
      <w:r w:rsidR="009F0A0A">
        <w:rPr>
          <w:b w:val="0"/>
          <w:bCs w:val="0"/>
          <w:sz w:val="24"/>
          <w:szCs w:val="24"/>
        </w:rPr>
        <w:t xml:space="preserve"> across three treatment groups: 200 mg abrocitinib, 100 mg abrocitinib and placebo (2:2:1).</w:t>
      </w:r>
      <w:r w:rsidR="00B9668D">
        <w:rPr>
          <w:b w:val="0"/>
          <w:bCs w:val="0"/>
          <w:sz w:val="24"/>
          <w:szCs w:val="24"/>
        </w:rPr>
        <w:t xml:space="preserve">  </w:t>
      </w:r>
      <w:r w:rsidR="00EF57BC">
        <w:rPr>
          <w:b w:val="0"/>
          <w:bCs w:val="0"/>
          <w:sz w:val="24"/>
          <w:szCs w:val="24"/>
        </w:rPr>
        <w:t xml:space="preserve">Adults and adolescents were enrolled. </w:t>
      </w:r>
      <w:r w:rsidR="00B9668D">
        <w:rPr>
          <w:b w:val="0"/>
          <w:bCs w:val="0"/>
          <w:sz w:val="24"/>
          <w:szCs w:val="24"/>
        </w:rPr>
        <w:t>According to the JADE MONO-1 study</w:t>
      </w:r>
      <w:r w:rsidR="001A77DE">
        <w:rPr>
          <w:b w:val="0"/>
          <w:bCs w:val="0"/>
          <w:sz w:val="24"/>
          <w:szCs w:val="24"/>
        </w:rPr>
        <w:t xml:space="preserve">, 333/387 patients completed 12 weeks of treatment.  Of these patients, </w:t>
      </w:r>
      <w:r w:rsidR="003D4284">
        <w:rPr>
          <w:b w:val="0"/>
          <w:bCs w:val="0"/>
          <w:sz w:val="24"/>
          <w:szCs w:val="24"/>
        </w:rPr>
        <w:t xml:space="preserve">43.8% in the 200 mg group achieved clear or almost clear on the IGA </w:t>
      </w:r>
      <w:r w:rsidR="003D4284">
        <w:rPr>
          <w:b w:val="0"/>
          <w:bCs w:val="0"/>
          <w:sz w:val="24"/>
          <w:szCs w:val="24"/>
        </w:rPr>
        <w:lastRenderedPageBreak/>
        <w:t>with at least 2 grades of improvement</w:t>
      </w:r>
      <w:r w:rsidR="00C32847">
        <w:rPr>
          <w:b w:val="0"/>
          <w:bCs w:val="0"/>
          <w:sz w:val="24"/>
          <w:szCs w:val="24"/>
        </w:rPr>
        <w:t>, compared to 23.7% in the 100 mg group and 7.9% in the placebo group.</w:t>
      </w:r>
      <w:r w:rsidR="00B70124">
        <w:rPr>
          <w:b w:val="0"/>
          <w:bCs w:val="0"/>
          <w:sz w:val="24"/>
          <w:szCs w:val="24"/>
        </w:rPr>
        <w:t xml:space="preserve">  The percentage of patients achieving </w:t>
      </w:r>
      <w:r w:rsidR="0030631C">
        <w:rPr>
          <w:b w:val="0"/>
          <w:bCs w:val="0"/>
          <w:sz w:val="24"/>
          <w:szCs w:val="24"/>
        </w:rPr>
        <w:t xml:space="preserve">EASI-75 </w:t>
      </w:r>
      <w:r w:rsidR="00EF57BC">
        <w:rPr>
          <w:b w:val="0"/>
          <w:bCs w:val="0"/>
          <w:sz w:val="24"/>
          <w:szCs w:val="24"/>
        </w:rPr>
        <w:t xml:space="preserve">(a 75% improvement in severity of disease) </w:t>
      </w:r>
      <w:r w:rsidR="0030631C">
        <w:rPr>
          <w:b w:val="0"/>
          <w:bCs w:val="0"/>
          <w:sz w:val="24"/>
          <w:szCs w:val="24"/>
        </w:rPr>
        <w:t xml:space="preserve">at week 12 was 62.7% in the 200 mg group, 39.7% in the 100 mg group and </w:t>
      </w:r>
      <w:r w:rsidR="00C07D77">
        <w:rPr>
          <w:b w:val="0"/>
          <w:bCs w:val="0"/>
          <w:sz w:val="24"/>
          <w:szCs w:val="24"/>
        </w:rPr>
        <w:t xml:space="preserve">11.8% in the placebo group.  In addition, a PP-NRS </w:t>
      </w:r>
      <w:r w:rsidR="00EF57BC">
        <w:rPr>
          <w:b w:val="0"/>
          <w:bCs w:val="0"/>
          <w:sz w:val="24"/>
          <w:szCs w:val="24"/>
        </w:rPr>
        <w:t xml:space="preserve">(a measure of the severity of itch) </w:t>
      </w:r>
      <w:r w:rsidR="00C432D4">
        <w:rPr>
          <w:b w:val="0"/>
          <w:bCs w:val="0"/>
          <w:sz w:val="24"/>
          <w:szCs w:val="24"/>
        </w:rPr>
        <w:t>improvement of 4 points or more was noted for 55.3% of patients in the 200 mg group, 45.2% in the 100 mg group and 11.5% in the placebo group.</w:t>
      </w:r>
      <w:r w:rsidR="009E653D">
        <w:rPr>
          <w:b w:val="0"/>
          <w:bCs w:val="0"/>
          <w:sz w:val="24"/>
          <w:szCs w:val="24"/>
        </w:rPr>
        <w:t xml:space="preserve">  </w:t>
      </w:r>
      <w:r w:rsidR="00EF57BC">
        <w:rPr>
          <w:b w:val="0"/>
          <w:bCs w:val="0"/>
          <w:sz w:val="24"/>
          <w:szCs w:val="24"/>
        </w:rPr>
        <w:t xml:space="preserve">A 4-point decrease in itch is considered a clinically significant improvement associated with improvements in quality-of-life. </w:t>
      </w:r>
      <w:r w:rsidR="009E653D">
        <w:rPr>
          <w:b w:val="0"/>
          <w:bCs w:val="0"/>
          <w:sz w:val="24"/>
          <w:szCs w:val="24"/>
        </w:rPr>
        <w:t>The median time to PP-NRS response was 29 days in the 200 mg group, 58 days in the 100 mg group and 112 days in the placebo group.</w:t>
      </w:r>
      <w:r w:rsidR="00135DBE">
        <w:rPr>
          <w:b w:val="0"/>
          <w:bCs w:val="0"/>
          <w:sz w:val="24"/>
          <w:szCs w:val="24"/>
        </w:rPr>
        <w:t xml:space="preserve">  Adverse event profiles were similar to those seen in earlier studies.</w:t>
      </w:r>
    </w:p>
    <w:p w14:paraId="1E687746" w14:textId="035E5F71" w:rsidR="00250D78" w:rsidRDefault="00070D75" w:rsidP="00B91D35">
      <w:pPr>
        <w:widowControl/>
        <w:autoSpaceDE w:val="0"/>
        <w:autoSpaceDN w:val="0"/>
        <w:adjustRightInd w:val="0"/>
        <w:spacing w:line="276" w:lineRule="auto"/>
        <w:ind w:left="720" w:right="1230"/>
        <w:jc w:val="both"/>
        <w:rPr>
          <w:rFonts w:ascii="Times New Roman" w:hAnsi="Times New Roman" w:cs="Times New Roman"/>
          <w:sz w:val="24"/>
          <w:szCs w:val="24"/>
        </w:rPr>
      </w:pPr>
      <w:r w:rsidRPr="66C27867">
        <w:rPr>
          <w:rFonts w:ascii="Times New Roman" w:hAnsi="Times New Roman" w:cs="Times New Roman"/>
          <w:sz w:val="24"/>
          <w:szCs w:val="24"/>
        </w:rPr>
        <w:t xml:space="preserve">The </w:t>
      </w:r>
      <w:r w:rsidR="002B2CE1" w:rsidRPr="66C27867">
        <w:rPr>
          <w:rFonts w:ascii="Times New Roman" w:hAnsi="Times New Roman" w:cs="Times New Roman"/>
          <w:sz w:val="24"/>
          <w:szCs w:val="24"/>
        </w:rPr>
        <w:t xml:space="preserve">16-week </w:t>
      </w:r>
      <w:r w:rsidRPr="66C27867">
        <w:rPr>
          <w:rFonts w:ascii="Times New Roman" w:hAnsi="Times New Roman" w:cs="Times New Roman"/>
          <w:sz w:val="24"/>
          <w:szCs w:val="24"/>
        </w:rPr>
        <w:t xml:space="preserve">Phase 3 JADE-COMPARE study was conducted to evaluate the performance of abrocitinib </w:t>
      </w:r>
      <w:r w:rsidR="00CA12BA" w:rsidRPr="66C27867">
        <w:rPr>
          <w:rFonts w:ascii="Times New Roman" w:hAnsi="Times New Roman" w:cs="Times New Roman"/>
          <w:sz w:val="24"/>
          <w:szCs w:val="24"/>
        </w:rPr>
        <w:t xml:space="preserve">(200 mg and 100 mg QD) in adults with moderate to severe AD who were receiving background </w:t>
      </w:r>
      <w:r w:rsidR="00324EC2" w:rsidRPr="66C27867">
        <w:rPr>
          <w:rFonts w:ascii="Times New Roman" w:hAnsi="Times New Roman" w:cs="Times New Roman"/>
          <w:sz w:val="24"/>
          <w:szCs w:val="24"/>
        </w:rPr>
        <w:t>medicated topical therapy.</w:t>
      </w:r>
      <w:r w:rsidR="00B468B0" w:rsidRPr="66C27867">
        <w:rPr>
          <w:rFonts w:ascii="Times New Roman" w:hAnsi="Times New Roman" w:cs="Times New Roman"/>
          <w:sz w:val="24"/>
          <w:szCs w:val="24"/>
        </w:rPr>
        <w:t xml:space="preserve">  </w:t>
      </w:r>
      <w:r w:rsidR="00383FE2">
        <w:t xml:space="preserve"> </w:t>
      </w:r>
      <w:r w:rsidR="00383FE2" w:rsidRPr="00BC61F0">
        <w:rPr>
          <w:rFonts w:ascii="Times New Roman" w:hAnsi="Times New Roman" w:cs="Times New Roman"/>
          <w:sz w:val="24"/>
          <w:szCs w:val="24"/>
        </w:rPr>
        <w:t xml:space="preserve">Dupilimab was included as an active control, with a </w:t>
      </w:r>
      <w:proofErr w:type="gramStart"/>
      <w:r w:rsidR="00383FE2" w:rsidRPr="00BC61F0">
        <w:rPr>
          <w:rFonts w:ascii="Times New Roman" w:hAnsi="Times New Roman" w:cs="Times New Roman"/>
          <w:sz w:val="24"/>
          <w:szCs w:val="24"/>
        </w:rPr>
        <w:t>head to head</w:t>
      </w:r>
      <w:proofErr w:type="gramEnd"/>
      <w:r w:rsidR="00383FE2" w:rsidRPr="00BC61F0">
        <w:rPr>
          <w:rFonts w:ascii="Times New Roman" w:hAnsi="Times New Roman" w:cs="Times New Roman"/>
          <w:sz w:val="24"/>
          <w:szCs w:val="24"/>
        </w:rPr>
        <w:t xml:space="preserve"> comparison on a key secondary endpoint- itch at week 2.  </w:t>
      </w:r>
      <w:r w:rsidR="00B468B0" w:rsidRPr="00BC61F0">
        <w:rPr>
          <w:rFonts w:ascii="Times New Roman" w:hAnsi="Times New Roman" w:cs="Times New Roman"/>
          <w:sz w:val="24"/>
          <w:szCs w:val="24"/>
        </w:rPr>
        <w:t>Background</w:t>
      </w:r>
      <w:r w:rsidR="00B468B0" w:rsidRPr="66C27867">
        <w:rPr>
          <w:rFonts w:ascii="Times New Roman" w:hAnsi="Times New Roman" w:cs="Times New Roman"/>
          <w:sz w:val="24"/>
          <w:szCs w:val="24"/>
        </w:rPr>
        <w:t xml:space="preserve"> medicated topical therapy with low or medium potency topical corticosteroids, </w:t>
      </w:r>
      <w:r w:rsidR="000E6C55" w:rsidRPr="66C27867">
        <w:rPr>
          <w:rFonts w:ascii="Times New Roman" w:hAnsi="Times New Roman" w:cs="Times New Roman"/>
          <w:sz w:val="24"/>
          <w:szCs w:val="24"/>
        </w:rPr>
        <w:t>topical calcineurin inhibitors or topical PDE4 inhibitors was to be applied to areas with active lesions</w:t>
      </w:r>
      <w:r w:rsidR="00411D6A" w:rsidRPr="66C27867">
        <w:rPr>
          <w:rFonts w:ascii="Times New Roman" w:hAnsi="Times New Roman" w:cs="Times New Roman"/>
          <w:sz w:val="24"/>
          <w:szCs w:val="24"/>
        </w:rPr>
        <w:t xml:space="preserve"> and for 7-days after lesions were under control (clear or almost clear).</w:t>
      </w:r>
      <w:r w:rsidR="007024B1" w:rsidRPr="66C27867">
        <w:rPr>
          <w:rFonts w:ascii="Times New Roman" w:hAnsi="Times New Roman" w:cs="Times New Roman"/>
          <w:sz w:val="24"/>
          <w:szCs w:val="24"/>
        </w:rPr>
        <w:t xml:space="preserve">  In total, 837 patients received study drug and were included in the analysis.</w:t>
      </w:r>
      <w:r w:rsidR="003102D4" w:rsidRPr="66C27867">
        <w:rPr>
          <w:rFonts w:ascii="Times New Roman" w:hAnsi="Times New Roman" w:cs="Times New Roman"/>
          <w:sz w:val="24"/>
          <w:szCs w:val="24"/>
        </w:rPr>
        <w:t xml:space="preserve">  </w:t>
      </w:r>
      <w:r w:rsidR="009C0301" w:rsidRPr="66C27867">
        <w:rPr>
          <w:rFonts w:ascii="Times New Roman" w:hAnsi="Times New Roman" w:cs="Times New Roman"/>
          <w:sz w:val="24"/>
          <w:szCs w:val="24"/>
        </w:rPr>
        <w:t xml:space="preserve">When administered in combination with background medicated topical therapy, both abrocitinib 100 mg QD and 200 mg QD achieved statistically significant greater responder proportions than placebo for IGA and EASI-75 at Week 12 and Week 16.  At Week 2, abrocitinib 200 mg QD relieved itch more effectively (statistically significant greater proportion of PP-NRS4 responders) than placebo and dupilumab.  At Week 2, abrocitinib 100 mg QD was statistically significantly more effective in relieving itch than placebo but was not significantly different from dupilumab. </w:t>
      </w:r>
      <w:r w:rsidR="003102D4" w:rsidRPr="66C27867">
        <w:rPr>
          <w:rFonts w:ascii="Times New Roman" w:hAnsi="Times New Roman" w:cs="Times New Roman"/>
          <w:sz w:val="24"/>
          <w:szCs w:val="24"/>
        </w:rPr>
        <w:t xml:space="preserve">Compared with placebo, a significant </w:t>
      </w:r>
      <w:r w:rsidR="00A52C08" w:rsidRPr="66C27867">
        <w:rPr>
          <w:rFonts w:ascii="Times New Roman" w:hAnsi="Times New Roman" w:cs="Times New Roman"/>
          <w:sz w:val="24"/>
          <w:szCs w:val="24"/>
        </w:rPr>
        <w:t xml:space="preserve">decrease in </w:t>
      </w:r>
      <w:r w:rsidR="00261CFA" w:rsidRPr="66C27867">
        <w:rPr>
          <w:rFonts w:ascii="Times New Roman" w:hAnsi="Times New Roman" w:cs="Times New Roman"/>
          <w:sz w:val="24"/>
          <w:szCs w:val="24"/>
        </w:rPr>
        <w:t xml:space="preserve">POEM </w:t>
      </w:r>
      <w:r w:rsidR="008424B0" w:rsidRPr="66C27867">
        <w:rPr>
          <w:rFonts w:ascii="Times New Roman" w:hAnsi="Times New Roman" w:cs="Times New Roman"/>
          <w:sz w:val="24"/>
          <w:szCs w:val="24"/>
        </w:rPr>
        <w:t xml:space="preserve">(Patient Oriented Eczema Measure) </w:t>
      </w:r>
      <w:r w:rsidR="00261CFA" w:rsidRPr="66C27867">
        <w:rPr>
          <w:rFonts w:ascii="Times New Roman" w:hAnsi="Times New Roman" w:cs="Times New Roman"/>
          <w:sz w:val="24"/>
          <w:szCs w:val="24"/>
        </w:rPr>
        <w:t>scores were observed with abrocitinib at both doses at weeks 12 and 16</w:t>
      </w:r>
      <w:r w:rsidR="00BF027A" w:rsidRPr="66C27867">
        <w:rPr>
          <w:rFonts w:ascii="Times New Roman" w:hAnsi="Times New Roman" w:cs="Times New Roman"/>
          <w:sz w:val="24"/>
          <w:szCs w:val="24"/>
        </w:rPr>
        <w:t xml:space="preserve"> (Week 16 LSM change from baseline: -12.5 for 200 mg abrocitinib, -9.2 for 100 mg abrocitinib, -10.8 for dupilumab, </w:t>
      </w:r>
      <w:r w:rsidR="00361BEE" w:rsidRPr="66C27867">
        <w:rPr>
          <w:rFonts w:ascii="Times New Roman" w:hAnsi="Times New Roman" w:cs="Times New Roman"/>
          <w:sz w:val="24"/>
          <w:szCs w:val="24"/>
        </w:rPr>
        <w:t>-5.0 for placebo (vs. both abrocitinib groups p&lt;0.0001)).</w:t>
      </w:r>
      <w:r w:rsidR="00D80BC9" w:rsidRPr="66C27867">
        <w:rPr>
          <w:rFonts w:ascii="Times New Roman" w:hAnsi="Times New Roman" w:cs="Times New Roman"/>
          <w:sz w:val="24"/>
          <w:szCs w:val="24"/>
        </w:rPr>
        <w:t xml:space="preserve">  There was also a significant decrease in AD symptom severity as measured by the PSAAD</w:t>
      </w:r>
      <w:r w:rsidR="00E50A8D" w:rsidRPr="66C27867">
        <w:rPr>
          <w:rFonts w:ascii="Times New Roman" w:hAnsi="Times New Roman" w:cs="Times New Roman"/>
          <w:sz w:val="24"/>
          <w:szCs w:val="24"/>
        </w:rPr>
        <w:t xml:space="preserve"> scale (range 0-10, 10=extreme) from week 1 with abrocitinib, and this improvement was maintained through week 16.  </w:t>
      </w:r>
      <w:r w:rsidR="00B51F1A" w:rsidRPr="66C27867">
        <w:rPr>
          <w:rFonts w:ascii="Times New Roman" w:hAnsi="Times New Roman" w:cs="Times New Roman"/>
          <w:sz w:val="24"/>
          <w:szCs w:val="24"/>
        </w:rPr>
        <w:t>At week 16, LSM change from baseline PSAAD was -3.6 for abrocitinib 200 mg, -2.8 for abrocitinib 100 mg, -3.4 for dupilumab and -1.7 for placebo (</w:t>
      </w:r>
      <w:r w:rsidR="007C4DE9" w:rsidRPr="66C27867">
        <w:rPr>
          <w:rFonts w:ascii="Times New Roman" w:hAnsi="Times New Roman" w:cs="Times New Roman"/>
          <w:sz w:val="24"/>
          <w:szCs w:val="24"/>
        </w:rPr>
        <w:t>vs. both abrocitinib groups p&lt;0.0001).</w:t>
      </w:r>
      <w:r w:rsidR="00320141" w:rsidRPr="66C27867">
        <w:rPr>
          <w:rFonts w:ascii="Times New Roman" w:hAnsi="Times New Roman" w:cs="Times New Roman"/>
          <w:sz w:val="24"/>
          <w:szCs w:val="24"/>
        </w:rPr>
        <w:t xml:space="preserve">  The proportion of patients meeting the criteria for clinically meaningful improvement </w:t>
      </w:r>
      <w:r w:rsidR="00DC7AB1" w:rsidRPr="66C27867">
        <w:rPr>
          <w:rFonts w:ascii="Times New Roman" w:hAnsi="Times New Roman" w:cs="Times New Roman"/>
          <w:sz w:val="24"/>
          <w:szCs w:val="24"/>
        </w:rPr>
        <w:t>(</w:t>
      </w:r>
      <w:r w:rsidR="00DC7AB1" w:rsidRPr="66C27867">
        <w:rPr>
          <w:rFonts w:ascii="Times New Roman" w:eastAsia="AdvTTec369687+22" w:hAnsi="Times New Roman" w:cs="Times New Roman"/>
          <w:sz w:val="24"/>
          <w:szCs w:val="24"/>
        </w:rPr>
        <w:t>≥</w:t>
      </w:r>
      <w:r w:rsidR="00DC7AB1" w:rsidRPr="66C27867">
        <w:rPr>
          <w:rFonts w:ascii="Times New Roman" w:hAnsi="Times New Roman" w:cs="Times New Roman"/>
          <w:sz w:val="24"/>
          <w:szCs w:val="24"/>
        </w:rPr>
        <w:t>4-point improvement from baseline)</w:t>
      </w:r>
      <w:r w:rsidR="00B91D35" w:rsidRPr="66C27867">
        <w:rPr>
          <w:rFonts w:ascii="Times New Roman" w:hAnsi="Times New Roman" w:cs="Times New Roman"/>
          <w:sz w:val="24"/>
          <w:szCs w:val="24"/>
        </w:rPr>
        <w:t xml:space="preserve"> </w:t>
      </w:r>
      <w:r w:rsidR="00DC7AB1" w:rsidRPr="66C27867">
        <w:rPr>
          <w:rFonts w:ascii="Times New Roman" w:hAnsi="Times New Roman" w:cs="Times New Roman"/>
          <w:sz w:val="24"/>
          <w:szCs w:val="24"/>
        </w:rPr>
        <w:t>on the NTIS severity item (range 0–10 [10 = worst itch imaginable]) with both abrocitinib doses was significantly higher compared with placebo from week 2 to 16.</w:t>
      </w:r>
      <w:r w:rsidR="0060558C" w:rsidRPr="66C27867">
        <w:rPr>
          <w:rFonts w:ascii="Times New Roman" w:hAnsi="Times New Roman" w:cs="Times New Roman"/>
          <w:sz w:val="24"/>
          <w:szCs w:val="24"/>
        </w:rPr>
        <w:t xml:space="preserve">  At week 16, proportions achieving clinically meaningful improvement were 64.3% for abrocitinib 200 mg, 52.4% for abrocitinib 100 mg, 54.0% for dupilumab, and 34.4% for placebo (vs. abrocitinib</w:t>
      </w:r>
      <w:r w:rsidR="00C56827" w:rsidRPr="66C27867">
        <w:rPr>
          <w:rFonts w:ascii="Times New Roman" w:hAnsi="Times New Roman" w:cs="Times New Roman"/>
          <w:sz w:val="24"/>
          <w:szCs w:val="24"/>
        </w:rPr>
        <w:t xml:space="preserve"> </w:t>
      </w:r>
      <w:r w:rsidR="0060558C" w:rsidRPr="66C27867">
        <w:rPr>
          <w:rFonts w:ascii="Times New Roman" w:hAnsi="Times New Roman" w:cs="Times New Roman"/>
          <w:sz w:val="24"/>
          <w:szCs w:val="24"/>
        </w:rPr>
        <w:t>groups, P &lt; 0.0001 and P = 0.007, respectively).</w:t>
      </w:r>
      <w:r w:rsidR="003C09ED" w:rsidRPr="66C27867">
        <w:rPr>
          <w:rFonts w:ascii="Times New Roman" w:hAnsi="Times New Roman" w:cs="Times New Roman"/>
          <w:sz w:val="24"/>
          <w:szCs w:val="24"/>
        </w:rPr>
        <w:t xml:space="preserve">  </w:t>
      </w:r>
      <w:r w:rsidR="004A2109" w:rsidRPr="66C27867">
        <w:rPr>
          <w:rFonts w:ascii="Times New Roman" w:hAnsi="Times New Roman" w:cs="Times New Roman"/>
          <w:sz w:val="24"/>
          <w:szCs w:val="24"/>
        </w:rPr>
        <w:t xml:space="preserve">In exploratory analyses, </w:t>
      </w:r>
      <w:r w:rsidR="00DB7BC6" w:rsidRPr="66C27867">
        <w:rPr>
          <w:rFonts w:ascii="Times New Roman" w:hAnsi="Times New Roman" w:cs="Times New Roman"/>
          <w:sz w:val="24"/>
          <w:szCs w:val="24"/>
        </w:rPr>
        <w:t>p</w:t>
      </w:r>
      <w:r w:rsidR="00C56827" w:rsidRPr="66C27867">
        <w:rPr>
          <w:rFonts w:ascii="Times New Roman" w:hAnsi="Times New Roman" w:cs="Times New Roman"/>
          <w:sz w:val="24"/>
          <w:szCs w:val="24"/>
        </w:rPr>
        <w:t xml:space="preserve">atients treated with </w:t>
      </w:r>
      <w:proofErr w:type="spellStart"/>
      <w:r w:rsidR="00C56827" w:rsidRPr="66C27867">
        <w:rPr>
          <w:rFonts w:ascii="Times New Roman" w:hAnsi="Times New Roman" w:cs="Times New Roman"/>
          <w:sz w:val="24"/>
          <w:szCs w:val="24"/>
        </w:rPr>
        <w:t>abrocitinib</w:t>
      </w:r>
      <w:proofErr w:type="spellEnd"/>
      <w:r w:rsidR="00C56827" w:rsidRPr="66C27867">
        <w:rPr>
          <w:rFonts w:ascii="Times New Roman" w:hAnsi="Times New Roman" w:cs="Times New Roman"/>
          <w:sz w:val="24"/>
          <w:szCs w:val="24"/>
        </w:rPr>
        <w:t xml:space="preserve"> 200 mg or 100 mg had significant improvement in LSM SCORAD sleep loss </w:t>
      </w:r>
      <w:r w:rsidR="00C56827" w:rsidRPr="66C27867">
        <w:rPr>
          <w:rFonts w:ascii="Times New Roman" w:hAnsi="Times New Roman" w:cs="Times New Roman"/>
          <w:sz w:val="24"/>
          <w:szCs w:val="24"/>
        </w:rPr>
        <w:lastRenderedPageBreak/>
        <w:t>visual analog scale</w:t>
      </w:r>
      <w:r w:rsidR="00E40814" w:rsidRPr="66C27867">
        <w:rPr>
          <w:rFonts w:ascii="Times New Roman" w:hAnsi="Times New Roman" w:cs="Times New Roman"/>
          <w:sz w:val="24"/>
          <w:szCs w:val="24"/>
        </w:rPr>
        <w:t xml:space="preserve">, </w:t>
      </w:r>
      <w:r w:rsidR="00DC006D" w:rsidRPr="66C27867">
        <w:rPr>
          <w:rFonts w:ascii="Times New Roman" w:hAnsi="Times New Roman" w:cs="Times New Roman"/>
          <w:sz w:val="24"/>
          <w:szCs w:val="24"/>
        </w:rPr>
        <w:t xml:space="preserve">and </w:t>
      </w:r>
      <w:r w:rsidR="00E40814" w:rsidRPr="66C27867">
        <w:rPr>
          <w:rFonts w:ascii="Times New Roman" w:hAnsi="Times New Roman" w:cs="Times New Roman"/>
          <w:sz w:val="24"/>
          <w:szCs w:val="24"/>
        </w:rPr>
        <w:t>significant differences in LSM scores on both HADS anxiety and depression symptom subscales</w:t>
      </w:r>
      <w:r w:rsidR="00DC006D" w:rsidRPr="66C27867">
        <w:rPr>
          <w:rFonts w:ascii="Times New Roman" w:hAnsi="Times New Roman" w:cs="Times New Roman"/>
          <w:sz w:val="24"/>
          <w:szCs w:val="24"/>
        </w:rPr>
        <w:t xml:space="preserve">.  </w:t>
      </w:r>
      <w:r w:rsidR="003D6D08" w:rsidRPr="66C27867">
        <w:rPr>
          <w:rFonts w:ascii="Times New Roman" w:hAnsi="Times New Roman" w:cs="Times New Roman"/>
          <w:sz w:val="24"/>
          <w:szCs w:val="24"/>
        </w:rPr>
        <w:t>In each of these studies</w:t>
      </w:r>
      <w:r w:rsidR="001E167B" w:rsidRPr="66C27867">
        <w:rPr>
          <w:rFonts w:ascii="Times New Roman" w:hAnsi="Times New Roman" w:cs="Times New Roman"/>
          <w:sz w:val="24"/>
          <w:szCs w:val="24"/>
        </w:rPr>
        <w:t xml:space="preserve"> at weeks 12 and 16, a higher proportion of patients </w:t>
      </w:r>
      <w:r w:rsidR="003B62B8" w:rsidRPr="66C27867">
        <w:rPr>
          <w:rFonts w:ascii="Times New Roman" w:hAnsi="Times New Roman" w:cs="Times New Roman"/>
          <w:sz w:val="24"/>
          <w:szCs w:val="24"/>
        </w:rPr>
        <w:t>had</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clinically meaningful improvements with abrocitinib 200 mg</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than with dupilumab or abrocitinib 100 mg. The proportion of</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patients with clinically meaningful improvements in PROs with</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 xml:space="preserve">abrocitinib 100 mg was similar to that with dupilumab for POEM, </w:t>
      </w:r>
      <w:proofErr w:type="spellStart"/>
      <w:r w:rsidR="003B62B8" w:rsidRPr="66C27867">
        <w:rPr>
          <w:rFonts w:ascii="Times New Roman" w:hAnsi="Times New Roman" w:cs="Times New Roman"/>
          <w:sz w:val="24"/>
          <w:szCs w:val="24"/>
        </w:rPr>
        <w:t>PtGA</w:t>
      </w:r>
      <w:proofErr w:type="spellEnd"/>
      <w:r w:rsidR="003B62B8" w:rsidRPr="66C27867">
        <w:rPr>
          <w:rFonts w:ascii="Times New Roman" w:hAnsi="Times New Roman" w:cs="Times New Roman"/>
          <w:sz w:val="24"/>
          <w:szCs w:val="24"/>
        </w:rPr>
        <w:t>, NTIS severity, and HADS-Depression and was</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numerically lower than dupilumab for PSAAD, SCORAD sleep,</w:t>
      </w:r>
      <w:r w:rsidR="00C64B05" w:rsidRPr="66C27867">
        <w:rPr>
          <w:rFonts w:ascii="Times New Roman" w:hAnsi="Times New Roman" w:cs="Times New Roman"/>
          <w:sz w:val="24"/>
          <w:szCs w:val="24"/>
        </w:rPr>
        <w:t xml:space="preserve"> </w:t>
      </w:r>
      <w:r w:rsidR="003B62B8" w:rsidRPr="66C27867">
        <w:rPr>
          <w:rFonts w:ascii="Times New Roman" w:hAnsi="Times New Roman" w:cs="Times New Roman"/>
          <w:sz w:val="24"/>
          <w:szCs w:val="24"/>
        </w:rPr>
        <w:t xml:space="preserve">and HADS-Anxiety at week 16. </w:t>
      </w:r>
      <w:r w:rsidR="00C64B05" w:rsidRPr="66C27867">
        <w:rPr>
          <w:rFonts w:ascii="Times New Roman" w:hAnsi="Times New Roman" w:cs="Times New Roman"/>
          <w:sz w:val="24"/>
          <w:szCs w:val="24"/>
        </w:rPr>
        <w:t>The study was not designed to evaluate the superiority of abrocitinib over dupilumab using statistical testing in these PRO endpoints.</w:t>
      </w:r>
      <w:r w:rsidR="009C0301" w:rsidRPr="66C27867">
        <w:rPr>
          <w:rFonts w:ascii="Times New Roman" w:hAnsi="Times New Roman" w:cs="Times New Roman"/>
          <w:sz w:val="24"/>
          <w:szCs w:val="24"/>
        </w:rPr>
        <w:t xml:space="preserve"> Patient</w:t>
      </w:r>
      <w:r w:rsidR="00F56FD9" w:rsidRPr="66C27867">
        <w:rPr>
          <w:rFonts w:ascii="Times New Roman" w:hAnsi="Times New Roman" w:cs="Times New Roman"/>
          <w:sz w:val="24"/>
          <w:szCs w:val="24"/>
        </w:rPr>
        <w:t>s</w:t>
      </w:r>
      <w:r w:rsidR="009C0301" w:rsidRPr="66C27867">
        <w:rPr>
          <w:rFonts w:ascii="Times New Roman" w:hAnsi="Times New Roman" w:cs="Times New Roman"/>
          <w:sz w:val="24"/>
          <w:szCs w:val="24"/>
        </w:rPr>
        <w:t xml:space="preserve"> who have failed to achieve a response with dupilumab were then randomized to abrocitinib 100 or 200 mg QD. The proportion of patients who responded to abrocitinib after having failed dupilumab was similar to the percentage of responders to each dose of abrocitinib among patients who did not have dupilumab experience. </w:t>
      </w:r>
    </w:p>
    <w:p w14:paraId="2F3FF690" w14:textId="77777777" w:rsidR="00250D78" w:rsidRDefault="00250D78" w:rsidP="00250D78">
      <w:pPr>
        <w:widowControl/>
        <w:autoSpaceDE w:val="0"/>
        <w:autoSpaceDN w:val="0"/>
        <w:adjustRightInd w:val="0"/>
        <w:spacing w:line="276" w:lineRule="auto"/>
        <w:ind w:left="720" w:right="1320"/>
        <w:jc w:val="both"/>
        <w:rPr>
          <w:rFonts w:ascii="Times New Roman" w:hAnsi="Times New Roman" w:cs="Times New Roman"/>
          <w:sz w:val="24"/>
          <w:szCs w:val="24"/>
        </w:rPr>
      </w:pPr>
    </w:p>
    <w:p w14:paraId="4439DAFA" w14:textId="6689E298" w:rsidR="00E91EE3" w:rsidRPr="00250D78" w:rsidRDefault="00026E2E" w:rsidP="00BC61F0">
      <w:pPr>
        <w:spacing w:before="7" w:line="276" w:lineRule="auto"/>
        <w:ind w:left="720" w:right="1320"/>
        <w:jc w:val="both"/>
        <w:rPr>
          <w:rFonts w:ascii="Times New Roman" w:hAnsi="Times New Roman" w:cs="Times New Roman"/>
          <w:color w:val="333333"/>
          <w:sz w:val="24"/>
          <w:szCs w:val="24"/>
          <w:shd w:val="clear" w:color="auto" w:fill="FFFFFF"/>
        </w:rPr>
      </w:pPr>
      <w:r w:rsidRPr="00250D78">
        <w:rPr>
          <w:rFonts w:ascii="Times New Roman" w:hAnsi="Times New Roman" w:cs="Times New Roman"/>
          <w:sz w:val="24"/>
          <w:szCs w:val="24"/>
        </w:rPr>
        <w:t xml:space="preserve">On the basis of these results, the FDA granted approval for </w:t>
      </w:r>
      <w:r w:rsidR="001E4A26">
        <w:rPr>
          <w:rFonts w:ascii="Times New Roman" w:hAnsi="Times New Roman" w:cs="Times New Roman"/>
          <w:sz w:val="24"/>
          <w:szCs w:val="24"/>
        </w:rPr>
        <w:t>abrocitinib</w:t>
      </w:r>
      <w:r w:rsidRPr="00250D78">
        <w:rPr>
          <w:rFonts w:ascii="Times New Roman" w:hAnsi="Times New Roman" w:cs="Times New Roman"/>
          <w:sz w:val="24"/>
          <w:szCs w:val="24"/>
        </w:rPr>
        <w:t xml:space="preserve"> for the treatment of </w:t>
      </w:r>
      <w:r w:rsidR="001E4A26" w:rsidRPr="00331DBD">
        <w:rPr>
          <w:rFonts w:ascii="Times New Roman" w:hAnsi="Times New Roman" w:cs="Times New Roman"/>
          <w:sz w:val="24"/>
          <w:szCs w:val="24"/>
        </w:rPr>
        <w:t xml:space="preserve">adults with refractory, moderate-to-severe atopic dermatitis whose disease is not adequately controlled with other systemic drug products, including biologics, or when use of those therapies is inadvisable. </w:t>
      </w:r>
      <w:r w:rsidR="001E4A26">
        <w:rPr>
          <w:rFonts w:ascii="Times New Roman" w:hAnsi="Times New Roman" w:cs="Times New Roman"/>
          <w:sz w:val="24"/>
          <w:szCs w:val="24"/>
        </w:rPr>
        <w:t xml:space="preserve"> </w:t>
      </w:r>
      <w:r w:rsidR="001E4A26" w:rsidRPr="00331DBD">
        <w:rPr>
          <w:rFonts w:ascii="Times New Roman" w:hAnsi="Times New Roman" w:cs="Times New Roman"/>
          <w:sz w:val="24"/>
          <w:szCs w:val="24"/>
        </w:rPr>
        <w:t>CIBINQO is not recommended for use in combination with other JAK inhibitors, biologic immunomodulators, or with other immunosuppressants.</w:t>
      </w:r>
      <w:r w:rsidR="001E4A26">
        <w:rPr>
          <w:rFonts w:ascii="Times New Roman" w:hAnsi="Times New Roman" w:cs="Times New Roman"/>
          <w:sz w:val="24"/>
          <w:szCs w:val="24"/>
        </w:rPr>
        <w:t xml:space="preserve">  </w:t>
      </w:r>
      <w:r w:rsidR="00F26024">
        <w:rPr>
          <w:rFonts w:ascii="Times New Roman" w:hAnsi="Times New Roman" w:cs="Times New Roman"/>
          <w:sz w:val="24"/>
          <w:szCs w:val="24"/>
        </w:rPr>
        <w:t>C</w:t>
      </w:r>
      <w:r w:rsidR="00DF092A">
        <w:rPr>
          <w:rFonts w:ascii="Times New Roman" w:hAnsi="Times New Roman" w:cs="Times New Roman"/>
          <w:sz w:val="24"/>
          <w:szCs w:val="24"/>
        </w:rPr>
        <w:t xml:space="preserve">onsistent with other JAK inhibitors, </w:t>
      </w:r>
      <w:proofErr w:type="spellStart"/>
      <w:r w:rsidR="00DF092A">
        <w:rPr>
          <w:rFonts w:ascii="Times New Roman" w:hAnsi="Times New Roman" w:cs="Times New Roman"/>
          <w:sz w:val="24"/>
          <w:szCs w:val="24"/>
        </w:rPr>
        <w:t>C</w:t>
      </w:r>
      <w:r w:rsidR="00F26024">
        <w:rPr>
          <w:rFonts w:ascii="Times New Roman" w:hAnsi="Times New Roman" w:cs="Times New Roman"/>
          <w:sz w:val="24"/>
          <w:szCs w:val="24"/>
        </w:rPr>
        <w:t>ibinqo</w:t>
      </w:r>
      <w:proofErr w:type="spellEnd"/>
      <w:r w:rsidR="00F26024">
        <w:rPr>
          <w:rFonts w:ascii="Times New Roman" w:hAnsi="Times New Roman" w:cs="Times New Roman"/>
          <w:sz w:val="24"/>
          <w:szCs w:val="24"/>
        </w:rPr>
        <w:t xml:space="preserve"> carries a boxed warning </w:t>
      </w:r>
      <w:r w:rsidR="00D76EEE">
        <w:rPr>
          <w:rFonts w:ascii="Times New Roman" w:hAnsi="Times New Roman" w:cs="Times New Roman"/>
          <w:sz w:val="24"/>
          <w:szCs w:val="24"/>
        </w:rPr>
        <w:t>common to other JAK inhibitors, including warnings about potential serious infections, cardiovascular risks</w:t>
      </w:r>
      <w:r w:rsidR="00011037">
        <w:rPr>
          <w:rFonts w:ascii="Times New Roman" w:hAnsi="Times New Roman" w:cs="Times New Roman"/>
          <w:sz w:val="24"/>
          <w:szCs w:val="24"/>
        </w:rPr>
        <w:t xml:space="preserve"> and malignancies.  </w:t>
      </w:r>
      <w:r w:rsidR="00AA6FBB" w:rsidRPr="00250D78">
        <w:rPr>
          <w:rFonts w:ascii="Times New Roman" w:hAnsi="Times New Roman" w:cs="Times New Roman"/>
          <w:color w:val="333333"/>
          <w:sz w:val="24"/>
          <w:szCs w:val="24"/>
          <w:shd w:val="clear" w:color="auto" w:fill="FFFFFF"/>
        </w:rPr>
        <w:t xml:space="preserve">Please see important safety information and full prescribing information at </w:t>
      </w:r>
      <w:hyperlink r:id="rId13" w:history="1">
        <w:r w:rsidR="00CB42D8" w:rsidRPr="00A75DF4">
          <w:rPr>
            <w:rStyle w:val="Hyperlink"/>
            <w:rFonts w:ascii="Times New Roman" w:hAnsi="Times New Roman" w:cs="Times New Roman"/>
            <w:sz w:val="24"/>
            <w:szCs w:val="24"/>
            <w:shd w:val="clear" w:color="auto" w:fill="FFFFFF"/>
          </w:rPr>
          <w:t>www.cibinqo.com</w:t>
        </w:r>
      </w:hyperlink>
    </w:p>
    <w:p w14:paraId="6D4636C7" w14:textId="77777777" w:rsidR="00250D78" w:rsidRPr="00250D78" w:rsidRDefault="00250D78" w:rsidP="00250D78">
      <w:pPr>
        <w:widowControl/>
        <w:autoSpaceDE w:val="0"/>
        <w:autoSpaceDN w:val="0"/>
        <w:adjustRightInd w:val="0"/>
        <w:spacing w:line="276" w:lineRule="auto"/>
        <w:ind w:left="720" w:right="1320"/>
        <w:jc w:val="both"/>
        <w:rPr>
          <w:rFonts w:ascii="Times New Roman" w:hAnsi="Times New Roman" w:cs="Times New Roman"/>
          <w:sz w:val="24"/>
          <w:szCs w:val="24"/>
        </w:rPr>
      </w:pPr>
    </w:p>
    <w:p w14:paraId="01F26099" w14:textId="5AD3EC5B" w:rsidR="00336EAA" w:rsidRDefault="00A37D88" w:rsidP="006D1DAE">
      <w:pPr>
        <w:pStyle w:val="Heading1"/>
        <w:spacing w:after="240" w:line="276" w:lineRule="auto"/>
        <w:ind w:left="720" w:right="1320"/>
        <w:jc w:val="both"/>
        <w:rPr>
          <w:sz w:val="24"/>
          <w:szCs w:val="24"/>
        </w:rPr>
      </w:pPr>
      <w:r w:rsidRPr="00783BF5">
        <w:rPr>
          <w:sz w:val="24"/>
          <w:szCs w:val="24"/>
        </w:rPr>
        <w:t>Innovation</w:t>
      </w:r>
    </w:p>
    <w:p w14:paraId="12E46399" w14:textId="056E08A4" w:rsidR="0057710E" w:rsidRDefault="000B500C" w:rsidP="00D762B3">
      <w:pPr>
        <w:pStyle w:val="Heading1"/>
        <w:spacing w:after="240" w:line="276" w:lineRule="auto"/>
        <w:ind w:left="720" w:right="1320"/>
        <w:jc w:val="both"/>
        <w:rPr>
          <w:b w:val="0"/>
          <w:bCs w:val="0"/>
          <w:sz w:val="24"/>
          <w:szCs w:val="24"/>
        </w:rPr>
      </w:pPr>
      <w:r>
        <w:rPr>
          <w:b w:val="0"/>
          <w:bCs w:val="0"/>
          <w:sz w:val="24"/>
          <w:szCs w:val="24"/>
        </w:rPr>
        <w:t>Janus associated kinases</w:t>
      </w:r>
      <w:r w:rsidR="00A96926">
        <w:rPr>
          <w:b w:val="0"/>
          <w:bCs w:val="0"/>
          <w:sz w:val="24"/>
          <w:szCs w:val="24"/>
        </w:rPr>
        <w:t xml:space="preserve"> (JAKs)</w:t>
      </w:r>
      <w:r>
        <w:rPr>
          <w:b w:val="0"/>
          <w:bCs w:val="0"/>
          <w:sz w:val="24"/>
          <w:szCs w:val="24"/>
        </w:rPr>
        <w:t xml:space="preserve"> </w:t>
      </w:r>
      <w:r w:rsidR="00451465">
        <w:rPr>
          <w:b w:val="0"/>
          <w:bCs w:val="0"/>
          <w:sz w:val="24"/>
          <w:szCs w:val="24"/>
        </w:rPr>
        <w:t>form specific</w:t>
      </w:r>
      <w:r>
        <w:rPr>
          <w:b w:val="0"/>
          <w:bCs w:val="0"/>
          <w:sz w:val="24"/>
          <w:szCs w:val="24"/>
        </w:rPr>
        <w:t xml:space="preserve"> </w:t>
      </w:r>
      <w:r w:rsidR="00F56FD9">
        <w:rPr>
          <w:b w:val="0"/>
          <w:bCs w:val="0"/>
          <w:sz w:val="24"/>
          <w:szCs w:val="24"/>
        </w:rPr>
        <w:t>pairs</w:t>
      </w:r>
      <w:r>
        <w:rPr>
          <w:b w:val="0"/>
          <w:bCs w:val="0"/>
          <w:sz w:val="24"/>
          <w:szCs w:val="24"/>
        </w:rPr>
        <w:t xml:space="preserve"> </w:t>
      </w:r>
      <w:r w:rsidR="004C643A">
        <w:rPr>
          <w:b w:val="0"/>
          <w:bCs w:val="0"/>
          <w:sz w:val="24"/>
          <w:szCs w:val="24"/>
        </w:rPr>
        <w:t xml:space="preserve">upon </w:t>
      </w:r>
      <w:r w:rsidR="00B23881">
        <w:rPr>
          <w:b w:val="0"/>
          <w:bCs w:val="0"/>
          <w:sz w:val="24"/>
          <w:szCs w:val="24"/>
        </w:rPr>
        <w:t xml:space="preserve">cytokine binding to its cognate receptor, </w:t>
      </w:r>
      <w:r w:rsidR="00A96926">
        <w:rPr>
          <w:b w:val="0"/>
          <w:bCs w:val="0"/>
          <w:sz w:val="24"/>
          <w:szCs w:val="24"/>
        </w:rPr>
        <w:t>resulting in the transmission of different cellular signals from the activated JAK protein.</w:t>
      </w:r>
      <w:r w:rsidR="004C643A">
        <w:rPr>
          <w:b w:val="0"/>
          <w:bCs w:val="0"/>
          <w:sz w:val="24"/>
          <w:szCs w:val="24"/>
        </w:rPr>
        <w:t xml:space="preserve">  </w:t>
      </w:r>
      <w:r w:rsidR="00A96926">
        <w:rPr>
          <w:b w:val="0"/>
          <w:bCs w:val="0"/>
          <w:sz w:val="24"/>
          <w:szCs w:val="24"/>
        </w:rPr>
        <w:t xml:space="preserve">As such, </w:t>
      </w:r>
      <w:r w:rsidR="00781A2A">
        <w:rPr>
          <w:b w:val="0"/>
          <w:bCs w:val="0"/>
          <w:sz w:val="24"/>
          <w:szCs w:val="24"/>
        </w:rPr>
        <w:t xml:space="preserve">tailored JAK inhibitor therapies offer the potential to provide differentiated activity for a variety of inflammatory conditions.  </w:t>
      </w:r>
      <w:r w:rsidR="00324013">
        <w:rPr>
          <w:b w:val="0"/>
          <w:bCs w:val="0"/>
          <w:sz w:val="24"/>
          <w:szCs w:val="24"/>
        </w:rPr>
        <w:t>Abrocitinib offers an improved selectivity profile vs. JAK2 relative to tofacitinib</w:t>
      </w:r>
      <w:r w:rsidR="00AA7C5D">
        <w:rPr>
          <w:b w:val="0"/>
          <w:bCs w:val="0"/>
          <w:sz w:val="24"/>
          <w:szCs w:val="24"/>
        </w:rPr>
        <w:t xml:space="preserve">, which </w:t>
      </w:r>
      <w:r w:rsidR="00801DE4">
        <w:rPr>
          <w:b w:val="0"/>
          <w:bCs w:val="0"/>
          <w:sz w:val="24"/>
          <w:szCs w:val="24"/>
        </w:rPr>
        <w:t xml:space="preserve">is important </w:t>
      </w:r>
      <w:r w:rsidR="00F174A9">
        <w:rPr>
          <w:b w:val="0"/>
          <w:bCs w:val="0"/>
          <w:sz w:val="24"/>
          <w:szCs w:val="24"/>
        </w:rPr>
        <w:t xml:space="preserve">given the </w:t>
      </w:r>
      <w:r w:rsidR="00801DE4">
        <w:rPr>
          <w:b w:val="0"/>
          <w:bCs w:val="0"/>
          <w:sz w:val="24"/>
          <w:szCs w:val="24"/>
        </w:rPr>
        <w:t xml:space="preserve">role </w:t>
      </w:r>
      <w:r w:rsidR="00F174A9">
        <w:rPr>
          <w:b w:val="0"/>
          <w:bCs w:val="0"/>
          <w:sz w:val="24"/>
          <w:szCs w:val="24"/>
        </w:rPr>
        <w:t xml:space="preserve">of JAK2 signaling </w:t>
      </w:r>
      <w:r w:rsidR="00801DE4">
        <w:rPr>
          <w:b w:val="0"/>
          <w:bCs w:val="0"/>
          <w:sz w:val="24"/>
          <w:szCs w:val="24"/>
        </w:rPr>
        <w:t xml:space="preserve">in </w:t>
      </w:r>
      <w:r w:rsidR="00F174A9">
        <w:rPr>
          <w:b w:val="0"/>
          <w:bCs w:val="0"/>
          <w:sz w:val="24"/>
          <w:szCs w:val="24"/>
        </w:rPr>
        <w:t xml:space="preserve">erythropoiesis and platelet production.  </w:t>
      </w:r>
    </w:p>
    <w:p w14:paraId="6EEAEAE0" w14:textId="1EE44C3C" w:rsidR="00AA14E3" w:rsidRDefault="00F174A9" w:rsidP="00D762B3">
      <w:pPr>
        <w:pStyle w:val="Heading1"/>
        <w:spacing w:after="240" w:line="276" w:lineRule="auto"/>
        <w:ind w:left="720" w:right="1320"/>
        <w:jc w:val="both"/>
        <w:rPr>
          <w:b w:val="0"/>
          <w:bCs w:val="0"/>
          <w:sz w:val="24"/>
          <w:szCs w:val="24"/>
        </w:rPr>
      </w:pPr>
      <w:r>
        <w:rPr>
          <w:b w:val="0"/>
          <w:bCs w:val="0"/>
          <w:sz w:val="24"/>
          <w:szCs w:val="24"/>
        </w:rPr>
        <w:t xml:space="preserve">The design of abrocitinib to impart this selectivity </w:t>
      </w:r>
      <w:r w:rsidR="00D050F9">
        <w:rPr>
          <w:b w:val="0"/>
          <w:bCs w:val="0"/>
          <w:sz w:val="24"/>
          <w:szCs w:val="24"/>
        </w:rPr>
        <w:t xml:space="preserve">required significant innovation in that the only piece retained from tofacitinib was the </w:t>
      </w:r>
      <w:proofErr w:type="spellStart"/>
      <w:r w:rsidR="00D050F9">
        <w:rPr>
          <w:b w:val="0"/>
          <w:bCs w:val="0"/>
          <w:sz w:val="24"/>
          <w:szCs w:val="24"/>
        </w:rPr>
        <w:t>pyrrolopyrimidine</w:t>
      </w:r>
      <w:proofErr w:type="spellEnd"/>
      <w:r w:rsidR="00D050F9">
        <w:rPr>
          <w:b w:val="0"/>
          <w:bCs w:val="0"/>
          <w:sz w:val="24"/>
          <w:szCs w:val="24"/>
        </w:rPr>
        <w:t xml:space="preserve"> hinge binder to retain selectivity over the broader </w:t>
      </w:r>
      <w:proofErr w:type="spellStart"/>
      <w:r w:rsidR="00D050F9">
        <w:rPr>
          <w:b w:val="0"/>
          <w:bCs w:val="0"/>
          <w:sz w:val="24"/>
          <w:szCs w:val="24"/>
        </w:rPr>
        <w:t>kinome</w:t>
      </w:r>
      <w:proofErr w:type="spellEnd"/>
      <w:r w:rsidR="00D050F9">
        <w:rPr>
          <w:b w:val="0"/>
          <w:bCs w:val="0"/>
          <w:sz w:val="24"/>
          <w:szCs w:val="24"/>
        </w:rPr>
        <w:t>.</w:t>
      </w:r>
      <w:r w:rsidR="0057710E">
        <w:rPr>
          <w:b w:val="0"/>
          <w:bCs w:val="0"/>
          <w:sz w:val="24"/>
          <w:szCs w:val="24"/>
        </w:rPr>
        <w:t xml:space="preserve">  While the JAK1 and JAK2 proteins are only </w:t>
      </w:r>
      <w:r w:rsidR="00B03D19">
        <w:rPr>
          <w:b w:val="0"/>
          <w:bCs w:val="0"/>
          <w:sz w:val="24"/>
          <w:szCs w:val="24"/>
        </w:rPr>
        <w:t>53% identical, most of the residues in the ATP binding pocket are identical between the two enzymes.</w:t>
      </w:r>
      <w:r w:rsidR="00E91DF5">
        <w:rPr>
          <w:b w:val="0"/>
          <w:bCs w:val="0"/>
          <w:sz w:val="24"/>
          <w:szCs w:val="24"/>
        </w:rPr>
        <w:t xml:space="preserve">  Those residues that are different are pointed away from the ligand in co-crystal structures, highlighting the challenges with achieving </w:t>
      </w:r>
      <w:r w:rsidR="00AA78C9">
        <w:rPr>
          <w:b w:val="0"/>
          <w:bCs w:val="0"/>
          <w:sz w:val="24"/>
          <w:szCs w:val="24"/>
        </w:rPr>
        <w:t xml:space="preserve">selective JAK1 inhibition.  </w:t>
      </w:r>
      <w:r w:rsidR="00483E40">
        <w:rPr>
          <w:b w:val="0"/>
          <w:bCs w:val="0"/>
          <w:sz w:val="24"/>
          <w:szCs w:val="24"/>
        </w:rPr>
        <w:t>The cis-</w:t>
      </w:r>
      <w:proofErr w:type="spellStart"/>
      <w:r w:rsidR="00483E40">
        <w:rPr>
          <w:b w:val="0"/>
          <w:bCs w:val="0"/>
          <w:sz w:val="24"/>
          <w:szCs w:val="24"/>
        </w:rPr>
        <w:t>cyclobutyl</w:t>
      </w:r>
      <w:proofErr w:type="spellEnd"/>
      <w:r w:rsidR="00483E40">
        <w:rPr>
          <w:b w:val="0"/>
          <w:bCs w:val="0"/>
          <w:sz w:val="24"/>
          <w:szCs w:val="24"/>
        </w:rPr>
        <w:t xml:space="preserve"> linker </w:t>
      </w:r>
      <w:r w:rsidR="007A0F25">
        <w:rPr>
          <w:b w:val="0"/>
          <w:bCs w:val="0"/>
          <w:sz w:val="24"/>
          <w:szCs w:val="24"/>
        </w:rPr>
        <w:t>that was identified in a survey of diamine linker groups is unique in positioning the sulfonamide NH group in</w:t>
      </w:r>
      <w:r w:rsidR="00066E7D">
        <w:rPr>
          <w:b w:val="0"/>
          <w:bCs w:val="0"/>
          <w:sz w:val="24"/>
          <w:szCs w:val="24"/>
        </w:rPr>
        <w:t xml:space="preserve"> the </w:t>
      </w:r>
      <w:r w:rsidR="00F327E2">
        <w:rPr>
          <w:b w:val="0"/>
          <w:bCs w:val="0"/>
          <w:sz w:val="24"/>
          <w:szCs w:val="24"/>
        </w:rPr>
        <w:t>precise</w:t>
      </w:r>
      <w:r w:rsidR="00066E7D">
        <w:rPr>
          <w:b w:val="0"/>
          <w:bCs w:val="0"/>
          <w:sz w:val="24"/>
          <w:szCs w:val="24"/>
        </w:rPr>
        <w:t xml:space="preserve"> orientation for productive hydrogen bonds </w:t>
      </w:r>
      <w:r w:rsidR="00DA33A1">
        <w:rPr>
          <w:b w:val="0"/>
          <w:bCs w:val="0"/>
          <w:sz w:val="24"/>
          <w:szCs w:val="24"/>
        </w:rPr>
        <w:t xml:space="preserve">with Asn1008 (JAK1, </w:t>
      </w:r>
      <w:proofErr w:type="spellStart"/>
      <w:r w:rsidR="00DA33A1">
        <w:rPr>
          <w:b w:val="0"/>
          <w:bCs w:val="0"/>
          <w:sz w:val="24"/>
          <w:szCs w:val="24"/>
        </w:rPr>
        <w:t>Asn</w:t>
      </w:r>
      <w:proofErr w:type="spellEnd"/>
      <w:r w:rsidR="00DA33A1">
        <w:rPr>
          <w:b w:val="0"/>
          <w:bCs w:val="0"/>
          <w:sz w:val="24"/>
          <w:szCs w:val="24"/>
        </w:rPr>
        <w:t xml:space="preserve"> 981 in JAK2).  </w:t>
      </w:r>
      <w:r w:rsidR="003823DD">
        <w:rPr>
          <w:b w:val="0"/>
          <w:bCs w:val="0"/>
          <w:sz w:val="24"/>
          <w:szCs w:val="24"/>
        </w:rPr>
        <w:t xml:space="preserve">Careful structural studies with both JAK1 </w:t>
      </w:r>
      <w:r w:rsidR="003823DD">
        <w:rPr>
          <w:b w:val="0"/>
          <w:bCs w:val="0"/>
          <w:sz w:val="24"/>
          <w:szCs w:val="24"/>
        </w:rPr>
        <w:lastRenderedPageBreak/>
        <w:t xml:space="preserve">and JAK2 complexed to </w:t>
      </w:r>
      <w:proofErr w:type="spellStart"/>
      <w:r w:rsidR="00F67BD8">
        <w:rPr>
          <w:b w:val="0"/>
          <w:bCs w:val="0"/>
          <w:sz w:val="24"/>
          <w:szCs w:val="24"/>
        </w:rPr>
        <w:t>abrocitinib</w:t>
      </w:r>
      <w:proofErr w:type="spellEnd"/>
      <w:r w:rsidR="00311029">
        <w:rPr>
          <w:b w:val="0"/>
          <w:bCs w:val="0"/>
          <w:sz w:val="24"/>
          <w:szCs w:val="24"/>
        </w:rPr>
        <w:t xml:space="preserve">, coupled with </w:t>
      </w:r>
      <w:r w:rsidR="00761D66">
        <w:rPr>
          <w:b w:val="0"/>
          <w:bCs w:val="0"/>
          <w:sz w:val="24"/>
          <w:szCs w:val="24"/>
        </w:rPr>
        <w:t xml:space="preserve">a survey of the Cambridge Crystallographic Database </w:t>
      </w:r>
      <w:r w:rsidR="00F3681F">
        <w:rPr>
          <w:b w:val="0"/>
          <w:bCs w:val="0"/>
          <w:sz w:val="24"/>
          <w:szCs w:val="24"/>
        </w:rPr>
        <w:t xml:space="preserve">around the ground state </w:t>
      </w:r>
      <w:r w:rsidR="00C9514F">
        <w:rPr>
          <w:b w:val="0"/>
          <w:bCs w:val="0"/>
          <w:sz w:val="24"/>
          <w:szCs w:val="24"/>
        </w:rPr>
        <w:t xml:space="preserve">conformation </w:t>
      </w:r>
      <w:r w:rsidR="00CB4F28">
        <w:rPr>
          <w:b w:val="0"/>
          <w:bCs w:val="0"/>
          <w:sz w:val="24"/>
          <w:szCs w:val="24"/>
        </w:rPr>
        <w:t>of alkyl sulfonamides,</w:t>
      </w:r>
      <w:r w:rsidR="00F67BD8">
        <w:rPr>
          <w:b w:val="0"/>
          <w:bCs w:val="0"/>
          <w:sz w:val="24"/>
          <w:szCs w:val="24"/>
        </w:rPr>
        <w:t xml:space="preserve"> reveal</w:t>
      </w:r>
      <w:r w:rsidR="00CB4F28">
        <w:rPr>
          <w:b w:val="0"/>
          <w:bCs w:val="0"/>
          <w:sz w:val="24"/>
          <w:szCs w:val="24"/>
        </w:rPr>
        <w:t>ed</w:t>
      </w:r>
      <w:r w:rsidR="00F67BD8">
        <w:rPr>
          <w:b w:val="0"/>
          <w:bCs w:val="0"/>
          <w:sz w:val="24"/>
          <w:szCs w:val="24"/>
        </w:rPr>
        <w:t xml:space="preserve"> several factors that contribute to its selectivity for JAK1.  These</w:t>
      </w:r>
      <w:r w:rsidR="00B8463D">
        <w:rPr>
          <w:b w:val="0"/>
          <w:bCs w:val="0"/>
          <w:sz w:val="24"/>
          <w:szCs w:val="24"/>
        </w:rPr>
        <w:t xml:space="preserve"> factors </w:t>
      </w:r>
      <w:r w:rsidR="00F67BD8">
        <w:rPr>
          <w:b w:val="0"/>
          <w:bCs w:val="0"/>
          <w:sz w:val="24"/>
          <w:szCs w:val="24"/>
        </w:rPr>
        <w:t xml:space="preserve">include: </w:t>
      </w:r>
    </w:p>
    <w:p w14:paraId="7ED020DB" w14:textId="697B3659" w:rsidR="00533FB4" w:rsidRDefault="00AA14E3" w:rsidP="00AA14E3">
      <w:pPr>
        <w:pStyle w:val="Heading1"/>
        <w:numPr>
          <w:ilvl w:val="0"/>
          <w:numId w:val="4"/>
        </w:numPr>
        <w:spacing w:after="240" w:line="276" w:lineRule="auto"/>
        <w:ind w:right="1320"/>
        <w:jc w:val="both"/>
        <w:rPr>
          <w:b w:val="0"/>
          <w:bCs w:val="0"/>
          <w:sz w:val="24"/>
          <w:szCs w:val="24"/>
        </w:rPr>
      </w:pPr>
      <w:r>
        <w:rPr>
          <w:b w:val="0"/>
          <w:bCs w:val="0"/>
          <w:sz w:val="24"/>
          <w:szCs w:val="24"/>
        </w:rPr>
        <w:t>S</w:t>
      </w:r>
      <w:r w:rsidR="00C9029D">
        <w:rPr>
          <w:b w:val="0"/>
          <w:bCs w:val="0"/>
          <w:sz w:val="24"/>
          <w:szCs w:val="24"/>
        </w:rPr>
        <w:t xml:space="preserve">ubtle differences in hydrogen bond interactions between the </w:t>
      </w:r>
      <w:proofErr w:type="spellStart"/>
      <w:r w:rsidR="00C9029D">
        <w:rPr>
          <w:b w:val="0"/>
          <w:bCs w:val="0"/>
          <w:sz w:val="24"/>
          <w:szCs w:val="24"/>
        </w:rPr>
        <w:t>pyrrolopyrimidine</w:t>
      </w:r>
      <w:proofErr w:type="spellEnd"/>
      <w:r w:rsidR="00C9029D">
        <w:rPr>
          <w:b w:val="0"/>
          <w:bCs w:val="0"/>
          <w:sz w:val="24"/>
          <w:szCs w:val="24"/>
        </w:rPr>
        <w:t xml:space="preserve"> group</w:t>
      </w:r>
      <w:r w:rsidR="00E675CB">
        <w:rPr>
          <w:b w:val="0"/>
          <w:bCs w:val="0"/>
          <w:sz w:val="24"/>
          <w:szCs w:val="24"/>
        </w:rPr>
        <w:t xml:space="preserve"> and Glu966(JAK1) vs. Asp939(JAK2), the latter </w:t>
      </w:r>
      <w:r>
        <w:rPr>
          <w:b w:val="0"/>
          <w:bCs w:val="0"/>
          <w:sz w:val="24"/>
          <w:szCs w:val="24"/>
        </w:rPr>
        <w:t>of which requires an extended network of water molecules.</w:t>
      </w:r>
    </w:p>
    <w:p w14:paraId="654D81D8" w14:textId="1421829D" w:rsidR="00AA14E3" w:rsidRDefault="009F0B59" w:rsidP="00AA14E3">
      <w:pPr>
        <w:pStyle w:val="Heading1"/>
        <w:numPr>
          <w:ilvl w:val="0"/>
          <w:numId w:val="4"/>
        </w:numPr>
        <w:spacing w:after="240" w:line="276" w:lineRule="auto"/>
        <w:ind w:right="1320"/>
        <w:jc w:val="both"/>
        <w:rPr>
          <w:b w:val="0"/>
          <w:bCs w:val="0"/>
          <w:sz w:val="24"/>
          <w:szCs w:val="24"/>
        </w:rPr>
      </w:pPr>
      <w:r>
        <w:rPr>
          <w:b w:val="0"/>
          <w:bCs w:val="0"/>
          <w:sz w:val="24"/>
          <w:szCs w:val="24"/>
        </w:rPr>
        <w:t>A unique</w:t>
      </w:r>
      <w:r w:rsidR="00AA14E3">
        <w:rPr>
          <w:b w:val="0"/>
          <w:bCs w:val="0"/>
          <w:sz w:val="24"/>
          <w:szCs w:val="24"/>
        </w:rPr>
        <w:t xml:space="preserve"> hydrogen bonding </w:t>
      </w:r>
      <w:r>
        <w:rPr>
          <w:b w:val="0"/>
          <w:bCs w:val="0"/>
          <w:sz w:val="24"/>
          <w:szCs w:val="24"/>
        </w:rPr>
        <w:t>interaction between</w:t>
      </w:r>
      <w:r w:rsidR="00AA14E3">
        <w:rPr>
          <w:b w:val="0"/>
          <w:bCs w:val="0"/>
          <w:sz w:val="24"/>
          <w:szCs w:val="24"/>
        </w:rPr>
        <w:t xml:space="preserve"> one of the sulfonamide oxygen atoms</w:t>
      </w:r>
      <w:r>
        <w:rPr>
          <w:b w:val="0"/>
          <w:bCs w:val="0"/>
          <w:sz w:val="24"/>
          <w:szCs w:val="24"/>
        </w:rPr>
        <w:t xml:space="preserve"> and the backbone </w:t>
      </w:r>
      <w:r w:rsidR="00CD7625">
        <w:rPr>
          <w:b w:val="0"/>
          <w:bCs w:val="0"/>
          <w:sz w:val="24"/>
          <w:szCs w:val="24"/>
        </w:rPr>
        <w:t>of Lys857 in the P-loop of JAK2, which likely influences its flexibility.</w:t>
      </w:r>
    </w:p>
    <w:p w14:paraId="649C82E5" w14:textId="70909A0D" w:rsidR="00CD7625" w:rsidRDefault="00614C09" w:rsidP="00AA14E3">
      <w:pPr>
        <w:pStyle w:val="Heading1"/>
        <w:numPr>
          <w:ilvl w:val="0"/>
          <w:numId w:val="4"/>
        </w:numPr>
        <w:spacing w:after="240" w:line="276" w:lineRule="auto"/>
        <w:ind w:right="1320"/>
        <w:jc w:val="both"/>
        <w:rPr>
          <w:b w:val="0"/>
          <w:bCs w:val="0"/>
          <w:sz w:val="24"/>
          <w:szCs w:val="24"/>
        </w:rPr>
      </w:pPr>
      <w:r>
        <w:rPr>
          <w:b w:val="0"/>
          <w:bCs w:val="0"/>
          <w:sz w:val="24"/>
          <w:szCs w:val="24"/>
        </w:rPr>
        <w:t>A difference in the orientation of the propyl group of the inhibitor in JAK1 and JAK2</w:t>
      </w:r>
      <w:r w:rsidR="00BB79DB">
        <w:rPr>
          <w:b w:val="0"/>
          <w:bCs w:val="0"/>
          <w:sz w:val="24"/>
          <w:szCs w:val="24"/>
        </w:rPr>
        <w:t>, suggesting the P-loop of JAK1 is more open than that of JAK2.</w:t>
      </w:r>
    </w:p>
    <w:p w14:paraId="7672DBA2" w14:textId="260A3E14" w:rsidR="00BB79DB" w:rsidRDefault="0076754F" w:rsidP="00AA14E3">
      <w:pPr>
        <w:pStyle w:val="Heading1"/>
        <w:numPr>
          <w:ilvl w:val="0"/>
          <w:numId w:val="4"/>
        </w:numPr>
        <w:spacing w:after="240" w:line="276" w:lineRule="auto"/>
        <w:ind w:right="1320"/>
        <w:jc w:val="both"/>
        <w:rPr>
          <w:b w:val="0"/>
          <w:bCs w:val="0"/>
          <w:sz w:val="24"/>
          <w:szCs w:val="24"/>
        </w:rPr>
      </w:pPr>
      <w:r>
        <w:rPr>
          <w:b w:val="0"/>
          <w:bCs w:val="0"/>
          <w:sz w:val="24"/>
          <w:szCs w:val="24"/>
        </w:rPr>
        <w:t xml:space="preserve">The relative rigidity of the P-loop of JAK2 </w:t>
      </w:r>
      <w:r w:rsidR="00885CF4">
        <w:rPr>
          <w:b w:val="0"/>
          <w:bCs w:val="0"/>
          <w:sz w:val="24"/>
          <w:szCs w:val="24"/>
        </w:rPr>
        <w:t xml:space="preserve">, forcing the </w:t>
      </w:r>
      <w:proofErr w:type="spellStart"/>
      <w:r w:rsidR="00885CF4">
        <w:rPr>
          <w:b w:val="0"/>
          <w:bCs w:val="0"/>
          <w:sz w:val="24"/>
          <w:szCs w:val="24"/>
        </w:rPr>
        <w:t>propylsulfonamide</w:t>
      </w:r>
      <w:proofErr w:type="spellEnd"/>
      <w:r w:rsidR="00885CF4">
        <w:rPr>
          <w:b w:val="0"/>
          <w:bCs w:val="0"/>
          <w:sz w:val="24"/>
          <w:szCs w:val="24"/>
        </w:rPr>
        <w:t xml:space="preserve"> group into the less favored gauche conformation relative to the JAK1 structure, which shows an energetically favored anti conformation.</w:t>
      </w:r>
    </w:p>
    <w:p w14:paraId="71FC5B48" w14:textId="0CCAF12E" w:rsidR="00751C26" w:rsidRDefault="00751C26" w:rsidP="00AA14E3">
      <w:pPr>
        <w:pStyle w:val="Heading1"/>
        <w:numPr>
          <w:ilvl w:val="0"/>
          <w:numId w:val="4"/>
        </w:numPr>
        <w:spacing w:after="240" w:line="276" w:lineRule="auto"/>
        <w:ind w:right="1320"/>
        <w:jc w:val="both"/>
        <w:rPr>
          <w:b w:val="0"/>
          <w:bCs w:val="0"/>
          <w:sz w:val="24"/>
          <w:szCs w:val="24"/>
        </w:rPr>
      </w:pPr>
      <w:r>
        <w:rPr>
          <w:b w:val="0"/>
          <w:bCs w:val="0"/>
          <w:sz w:val="24"/>
          <w:szCs w:val="24"/>
        </w:rPr>
        <w:t xml:space="preserve">Improved </w:t>
      </w:r>
      <w:r w:rsidR="00372296">
        <w:rPr>
          <w:b w:val="0"/>
          <w:bCs w:val="0"/>
          <w:sz w:val="24"/>
          <w:szCs w:val="24"/>
        </w:rPr>
        <w:t>hydrophobic interactions with the P-loop of JAK1 relative to JAK2</w:t>
      </w:r>
      <w:r w:rsidR="00F150E5">
        <w:rPr>
          <w:b w:val="0"/>
          <w:bCs w:val="0"/>
          <w:sz w:val="24"/>
          <w:szCs w:val="24"/>
        </w:rPr>
        <w:t>.</w:t>
      </w:r>
    </w:p>
    <w:p w14:paraId="60931ED1" w14:textId="59BF2B13" w:rsidR="00F150E5" w:rsidRDefault="00BE0173" w:rsidP="00F150E5">
      <w:pPr>
        <w:pStyle w:val="Heading1"/>
        <w:spacing w:after="240" w:line="276" w:lineRule="auto"/>
        <w:ind w:left="720" w:right="1320"/>
        <w:jc w:val="both"/>
        <w:rPr>
          <w:b w:val="0"/>
          <w:bCs w:val="0"/>
          <w:sz w:val="24"/>
          <w:szCs w:val="24"/>
        </w:rPr>
      </w:pPr>
      <w:r>
        <w:rPr>
          <w:b w:val="0"/>
          <w:bCs w:val="0"/>
          <w:sz w:val="24"/>
          <w:szCs w:val="24"/>
        </w:rPr>
        <w:t>Achieving</w:t>
      </w:r>
      <w:r w:rsidR="00F150E5">
        <w:rPr>
          <w:b w:val="0"/>
          <w:bCs w:val="0"/>
          <w:sz w:val="24"/>
          <w:szCs w:val="24"/>
        </w:rPr>
        <w:t xml:space="preserve"> this selectivity profile required an extensive survey of </w:t>
      </w:r>
      <w:r w:rsidR="00B83BFA">
        <w:rPr>
          <w:b w:val="0"/>
          <w:bCs w:val="0"/>
          <w:sz w:val="24"/>
          <w:szCs w:val="24"/>
        </w:rPr>
        <w:t>diamine linkers and substi</w:t>
      </w:r>
      <w:r w:rsidR="00FB0255">
        <w:rPr>
          <w:b w:val="0"/>
          <w:bCs w:val="0"/>
          <w:sz w:val="24"/>
          <w:szCs w:val="24"/>
        </w:rPr>
        <w:t xml:space="preserve">tuents on the distal amine while </w:t>
      </w:r>
      <w:r w:rsidR="002261D8">
        <w:rPr>
          <w:b w:val="0"/>
          <w:bCs w:val="0"/>
          <w:sz w:val="24"/>
          <w:szCs w:val="24"/>
        </w:rPr>
        <w:t>incorporating property-based features to design for metabolic stability, permeability and solubility to achieve a favorable oral pharmacokinetic profile.</w:t>
      </w:r>
    </w:p>
    <w:p w14:paraId="74FAD2D5" w14:textId="589FFA2A" w:rsidR="00186811" w:rsidRDefault="004C407A" w:rsidP="00F56FD9">
      <w:pPr>
        <w:pStyle w:val="CommentText"/>
        <w:ind w:left="720" w:right="1320"/>
        <w:jc w:val="both"/>
        <w:rPr>
          <w:rFonts w:ascii="Times New Roman" w:hAnsi="Times New Roman" w:cs="Times New Roman"/>
          <w:sz w:val="24"/>
          <w:szCs w:val="24"/>
          <w:shd w:val="clear" w:color="auto" w:fill="FFFFFF"/>
        </w:rPr>
      </w:pPr>
      <w:r w:rsidRPr="00F56FD9">
        <w:rPr>
          <w:rFonts w:ascii="Times New Roman" w:hAnsi="Times New Roman" w:cs="Times New Roman"/>
          <w:sz w:val="24"/>
          <w:szCs w:val="24"/>
        </w:rPr>
        <w:t xml:space="preserve">The clinical development program for abrocitinib was also innovative.  </w:t>
      </w:r>
      <w:r w:rsidRPr="00F56FD9">
        <w:rPr>
          <w:rFonts w:ascii="Times New Roman" w:hAnsi="Times New Roman" w:cs="Times New Roman"/>
          <w:sz w:val="24"/>
          <w:szCs w:val="24"/>
          <w:shd w:val="clear" w:color="auto" w:fill="FFFFFF"/>
        </w:rPr>
        <w:t xml:space="preserve">The combined </w:t>
      </w:r>
      <w:r w:rsidR="00361499" w:rsidRPr="00F56FD9">
        <w:rPr>
          <w:rFonts w:ascii="Times New Roman" w:hAnsi="Times New Roman" w:cs="Times New Roman"/>
          <w:sz w:val="24"/>
          <w:szCs w:val="24"/>
          <w:shd w:val="clear" w:color="auto" w:fill="FFFFFF"/>
        </w:rPr>
        <w:t>Single Ascending Dose / Multiple Ascending Dose (</w:t>
      </w:r>
      <w:r w:rsidRPr="00F56FD9">
        <w:rPr>
          <w:rFonts w:ascii="Times New Roman" w:hAnsi="Times New Roman" w:cs="Times New Roman"/>
          <w:sz w:val="24"/>
          <w:szCs w:val="24"/>
          <w:shd w:val="clear" w:color="auto" w:fill="FFFFFF"/>
        </w:rPr>
        <w:t>SAD/MAD</w:t>
      </w:r>
      <w:r w:rsidR="00361499" w:rsidRPr="00F56FD9">
        <w:rPr>
          <w:rFonts w:ascii="Times New Roman" w:hAnsi="Times New Roman" w:cs="Times New Roman"/>
          <w:sz w:val="24"/>
          <w:szCs w:val="24"/>
          <w:shd w:val="clear" w:color="auto" w:fill="FFFFFF"/>
        </w:rPr>
        <w:t>)</w:t>
      </w:r>
      <w:r w:rsidRPr="00F56FD9">
        <w:rPr>
          <w:rFonts w:ascii="Times New Roman" w:hAnsi="Times New Roman" w:cs="Times New Roman"/>
          <w:sz w:val="24"/>
          <w:szCs w:val="24"/>
          <w:shd w:val="clear" w:color="auto" w:fill="FFFFFF"/>
        </w:rPr>
        <w:t xml:space="preserve"> </w:t>
      </w:r>
      <w:r w:rsidR="00EE0B54" w:rsidRPr="00F56FD9">
        <w:rPr>
          <w:rFonts w:ascii="Times New Roman" w:hAnsi="Times New Roman" w:cs="Times New Roman"/>
          <w:sz w:val="24"/>
          <w:szCs w:val="24"/>
          <w:shd w:val="clear" w:color="auto" w:fill="FFFFFF"/>
        </w:rPr>
        <w:t xml:space="preserve">study </w:t>
      </w:r>
      <w:r w:rsidR="00361499" w:rsidRPr="00F56FD9">
        <w:rPr>
          <w:rFonts w:ascii="Times New Roman" w:hAnsi="Times New Roman" w:cs="Times New Roman"/>
          <w:sz w:val="24"/>
          <w:szCs w:val="24"/>
          <w:shd w:val="clear" w:color="auto" w:fill="FFFFFF"/>
        </w:rPr>
        <w:t>provided</w:t>
      </w:r>
      <w:r w:rsidRPr="00F56FD9">
        <w:rPr>
          <w:rFonts w:ascii="Times New Roman" w:hAnsi="Times New Roman" w:cs="Times New Roman"/>
          <w:sz w:val="24"/>
          <w:szCs w:val="24"/>
          <w:shd w:val="clear" w:color="auto" w:fill="FFFFFF"/>
        </w:rPr>
        <w:t xml:space="preserve"> valuable information early to inform </w:t>
      </w:r>
      <w:r w:rsidR="003A511F" w:rsidRPr="00F56FD9">
        <w:rPr>
          <w:rFonts w:ascii="Times New Roman" w:hAnsi="Times New Roman" w:cs="Times New Roman"/>
          <w:sz w:val="24"/>
          <w:szCs w:val="24"/>
          <w:shd w:val="clear" w:color="auto" w:fill="FFFFFF"/>
        </w:rPr>
        <w:t xml:space="preserve">the </w:t>
      </w:r>
      <w:r w:rsidRPr="00F56FD9">
        <w:rPr>
          <w:rFonts w:ascii="Times New Roman" w:hAnsi="Times New Roman" w:cs="Times New Roman"/>
          <w:sz w:val="24"/>
          <w:szCs w:val="24"/>
          <w:shd w:val="clear" w:color="auto" w:fill="FFFFFF"/>
        </w:rPr>
        <w:t xml:space="preserve">subsequent clinical development. </w:t>
      </w:r>
      <w:r w:rsidR="00361499" w:rsidRPr="00F56FD9">
        <w:rPr>
          <w:rFonts w:ascii="Times New Roman" w:hAnsi="Times New Roman" w:cs="Times New Roman"/>
          <w:sz w:val="24"/>
          <w:szCs w:val="24"/>
          <w:shd w:val="clear" w:color="auto" w:fill="FFFFFF"/>
        </w:rPr>
        <w:t xml:space="preserve"> In this study</w:t>
      </w:r>
      <w:r w:rsidRPr="00F56FD9">
        <w:rPr>
          <w:rFonts w:ascii="Times New Roman" w:hAnsi="Times New Roman" w:cs="Times New Roman"/>
          <w:sz w:val="24"/>
          <w:szCs w:val="24"/>
          <w:shd w:val="clear" w:color="auto" w:fill="FFFFFF"/>
        </w:rPr>
        <w:t>, adaptive principles were implemented by using the SAD data to make decisions on ongoing basis regarding the doses and number of subjects in the MAD</w:t>
      </w:r>
      <w:r w:rsidR="00F37E72" w:rsidRPr="00F56FD9">
        <w:rPr>
          <w:rFonts w:ascii="Times New Roman" w:hAnsi="Times New Roman" w:cs="Times New Roman"/>
          <w:sz w:val="24"/>
          <w:szCs w:val="24"/>
          <w:shd w:val="clear" w:color="auto" w:fill="FFFFFF"/>
        </w:rPr>
        <w:t xml:space="preserve"> </w:t>
      </w:r>
      <w:r w:rsidR="00371DD6" w:rsidRPr="00F56FD9">
        <w:rPr>
          <w:rFonts w:ascii="Times New Roman" w:hAnsi="Times New Roman" w:cs="Times New Roman"/>
          <w:sz w:val="24"/>
          <w:szCs w:val="24"/>
          <w:shd w:val="clear" w:color="auto" w:fill="FFFFFF"/>
        </w:rPr>
        <w:t xml:space="preserve">part of the </w:t>
      </w:r>
      <w:r w:rsidR="00F37E72" w:rsidRPr="00F56FD9">
        <w:rPr>
          <w:rFonts w:ascii="Times New Roman" w:hAnsi="Times New Roman" w:cs="Times New Roman"/>
          <w:sz w:val="24"/>
          <w:szCs w:val="24"/>
          <w:shd w:val="clear" w:color="auto" w:fill="FFFFFF"/>
        </w:rPr>
        <w:t>stud</w:t>
      </w:r>
      <w:r w:rsidR="00F56FD9">
        <w:rPr>
          <w:rFonts w:ascii="Times New Roman" w:hAnsi="Times New Roman" w:cs="Times New Roman"/>
          <w:sz w:val="24"/>
          <w:szCs w:val="24"/>
          <w:shd w:val="clear" w:color="auto" w:fill="FFFFFF"/>
        </w:rPr>
        <w:t xml:space="preserve">y.  </w:t>
      </w:r>
      <w:r w:rsidR="00371DD6" w:rsidRPr="00F56FD9">
        <w:rPr>
          <w:rFonts w:ascii="Times New Roman" w:hAnsi="Times New Roman" w:cs="Times New Roman"/>
          <w:sz w:val="24"/>
          <w:szCs w:val="24"/>
          <w:shd w:val="clear" w:color="auto" w:fill="FFFFFF"/>
        </w:rPr>
        <w:t>By saving time and resources, the SAD/MAD design ensured a very efficient Phase 1</w:t>
      </w:r>
      <w:r w:rsidR="001F5477" w:rsidRPr="00F56FD9">
        <w:rPr>
          <w:rFonts w:ascii="Times New Roman" w:hAnsi="Times New Roman" w:cs="Times New Roman"/>
          <w:sz w:val="24"/>
          <w:szCs w:val="24"/>
          <w:shd w:val="clear" w:color="auto" w:fill="FFFFFF"/>
        </w:rPr>
        <w:t xml:space="preserve"> study</w:t>
      </w:r>
      <w:r w:rsidR="00A06DD8" w:rsidRPr="00F56FD9">
        <w:rPr>
          <w:rFonts w:ascii="Times New Roman" w:hAnsi="Times New Roman" w:cs="Times New Roman"/>
          <w:sz w:val="24"/>
          <w:szCs w:val="24"/>
          <w:shd w:val="clear" w:color="auto" w:fill="FFFFFF"/>
        </w:rPr>
        <w:t xml:space="preserve">. </w:t>
      </w:r>
    </w:p>
    <w:p w14:paraId="74E2F86B" w14:textId="77777777" w:rsidR="00F56FD9" w:rsidRPr="00F56FD9" w:rsidRDefault="00F56FD9" w:rsidP="00F56FD9">
      <w:pPr>
        <w:pStyle w:val="CommentText"/>
        <w:ind w:left="720" w:right="1320"/>
        <w:jc w:val="both"/>
        <w:rPr>
          <w:rFonts w:ascii="Times New Roman" w:hAnsi="Times New Roman" w:cs="Times New Roman"/>
          <w:sz w:val="24"/>
          <w:szCs w:val="24"/>
          <w:shd w:val="clear" w:color="auto" w:fill="FFFFFF"/>
        </w:rPr>
      </w:pPr>
    </w:p>
    <w:p w14:paraId="1B99880D" w14:textId="17120E2B" w:rsidR="00A06DD8" w:rsidRDefault="003A511F" w:rsidP="00F56FD9">
      <w:pPr>
        <w:pStyle w:val="CommentText"/>
        <w:ind w:left="720" w:right="1320"/>
        <w:jc w:val="both"/>
        <w:rPr>
          <w:rFonts w:ascii="Times New Roman" w:hAnsi="Times New Roman" w:cs="Times New Roman"/>
          <w:sz w:val="24"/>
          <w:szCs w:val="24"/>
        </w:rPr>
      </w:pPr>
      <w:r w:rsidRPr="00F56FD9">
        <w:rPr>
          <w:rFonts w:ascii="Times New Roman" w:hAnsi="Times New Roman" w:cs="Times New Roman"/>
          <w:sz w:val="24"/>
          <w:szCs w:val="24"/>
          <w:shd w:val="clear" w:color="auto" w:fill="FFFFFF"/>
        </w:rPr>
        <w:t xml:space="preserve">The </w:t>
      </w:r>
      <w:r w:rsidR="00A06DD8" w:rsidRPr="00F56FD9">
        <w:rPr>
          <w:rFonts w:ascii="Times New Roman" w:hAnsi="Times New Roman" w:cs="Times New Roman"/>
          <w:sz w:val="24"/>
          <w:szCs w:val="24"/>
          <w:shd w:val="clear" w:color="auto" w:fill="FFFFFF"/>
        </w:rPr>
        <w:t xml:space="preserve">subsequent Ph2 study in Psoriasis </w:t>
      </w:r>
      <w:r w:rsidR="00D65302" w:rsidRPr="00F56FD9">
        <w:rPr>
          <w:rFonts w:ascii="Times New Roman" w:hAnsi="Times New Roman" w:cs="Times New Roman"/>
          <w:sz w:val="24"/>
          <w:szCs w:val="24"/>
          <w:shd w:val="clear" w:color="auto" w:fill="FFFFFF"/>
        </w:rPr>
        <w:t xml:space="preserve">that </w:t>
      </w:r>
      <w:r w:rsidR="00A06DD8" w:rsidRPr="00F56FD9">
        <w:rPr>
          <w:rFonts w:ascii="Times New Roman" w:hAnsi="Times New Roman" w:cs="Times New Roman"/>
          <w:sz w:val="24"/>
          <w:szCs w:val="24"/>
        </w:rPr>
        <w:t>explored</w:t>
      </w:r>
      <w:r w:rsidR="004A37A8" w:rsidRPr="00F56FD9">
        <w:rPr>
          <w:rFonts w:ascii="Times New Roman" w:hAnsi="Times New Roman" w:cs="Times New Roman"/>
          <w:sz w:val="24"/>
          <w:szCs w:val="24"/>
        </w:rPr>
        <w:t xml:space="preserve"> a range of doses and </w:t>
      </w:r>
      <w:r w:rsidR="00D65302" w:rsidRPr="00F56FD9">
        <w:rPr>
          <w:rFonts w:ascii="Times New Roman" w:hAnsi="Times New Roman" w:cs="Times New Roman"/>
          <w:sz w:val="24"/>
          <w:szCs w:val="24"/>
        </w:rPr>
        <w:t xml:space="preserve"> </w:t>
      </w:r>
      <w:r w:rsidR="004A37A8" w:rsidRPr="00F56FD9">
        <w:rPr>
          <w:rFonts w:ascii="Times New Roman" w:hAnsi="Times New Roman" w:cs="Times New Roman"/>
          <w:sz w:val="24"/>
          <w:szCs w:val="24"/>
        </w:rPr>
        <w:t xml:space="preserve">dosing regimens </w:t>
      </w:r>
      <w:r w:rsidR="004F77D9" w:rsidRPr="00F56FD9">
        <w:rPr>
          <w:rFonts w:ascii="Times New Roman" w:hAnsi="Times New Roman" w:cs="Times New Roman"/>
          <w:sz w:val="24"/>
          <w:szCs w:val="24"/>
        </w:rPr>
        <w:t xml:space="preserve">indicated that </w:t>
      </w:r>
      <w:r w:rsidR="008E51E4" w:rsidRPr="00F56FD9">
        <w:rPr>
          <w:rFonts w:ascii="Times New Roman" w:hAnsi="Times New Roman" w:cs="Times New Roman"/>
          <w:sz w:val="24"/>
          <w:szCs w:val="24"/>
        </w:rPr>
        <w:t xml:space="preserve"> Abrocitinib dosing  up to </w:t>
      </w:r>
      <w:r w:rsidR="00143F0D" w:rsidRPr="00F56FD9">
        <w:rPr>
          <w:rFonts w:ascii="Times New Roman" w:hAnsi="Times New Roman" w:cs="Times New Roman"/>
          <w:sz w:val="24"/>
          <w:szCs w:val="24"/>
        </w:rPr>
        <w:t xml:space="preserve"> 200 mg</w:t>
      </w:r>
      <w:r w:rsidR="008E51E4" w:rsidRPr="00F56FD9">
        <w:rPr>
          <w:rFonts w:ascii="Times New Roman" w:hAnsi="Times New Roman" w:cs="Times New Roman"/>
          <w:sz w:val="24"/>
          <w:szCs w:val="24"/>
        </w:rPr>
        <w:t xml:space="preserve"> </w:t>
      </w:r>
      <w:r w:rsidR="00C75A27" w:rsidRPr="00F56FD9">
        <w:rPr>
          <w:rFonts w:ascii="Times New Roman" w:hAnsi="Times New Roman" w:cs="Times New Roman"/>
          <w:sz w:val="24"/>
          <w:szCs w:val="24"/>
        </w:rPr>
        <w:t>daily</w:t>
      </w:r>
      <w:r w:rsidR="008E51E4" w:rsidRPr="00F56FD9">
        <w:rPr>
          <w:rFonts w:ascii="Times New Roman" w:hAnsi="Times New Roman" w:cs="Times New Roman"/>
          <w:sz w:val="24"/>
          <w:szCs w:val="24"/>
        </w:rPr>
        <w:t xml:space="preserve"> </w:t>
      </w:r>
      <w:r w:rsidR="00143F0D" w:rsidRPr="00F56FD9">
        <w:rPr>
          <w:rFonts w:ascii="Times New Roman" w:hAnsi="Times New Roman" w:cs="Times New Roman"/>
          <w:sz w:val="24"/>
          <w:szCs w:val="24"/>
        </w:rPr>
        <w:t xml:space="preserve"> </w:t>
      </w:r>
      <w:r w:rsidR="00A06DD8" w:rsidRPr="00F56FD9">
        <w:rPr>
          <w:rFonts w:ascii="Times New Roman" w:hAnsi="Times New Roman" w:cs="Times New Roman"/>
          <w:sz w:val="24"/>
          <w:szCs w:val="24"/>
        </w:rPr>
        <w:t>preserv</w:t>
      </w:r>
      <w:r w:rsidR="00B07EF4" w:rsidRPr="00F56FD9">
        <w:rPr>
          <w:rFonts w:ascii="Times New Roman" w:hAnsi="Times New Roman" w:cs="Times New Roman"/>
          <w:sz w:val="24"/>
          <w:szCs w:val="24"/>
        </w:rPr>
        <w:t>e</w:t>
      </w:r>
      <w:r w:rsidR="008E51E4" w:rsidRPr="00F56FD9">
        <w:rPr>
          <w:rFonts w:ascii="Times New Roman" w:hAnsi="Times New Roman" w:cs="Times New Roman"/>
          <w:sz w:val="24"/>
          <w:szCs w:val="24"/>
        </w:rPr>
        <w:t>s</w:t>
      </w:r>
      <w:r w:rsidR="00A06DD8" w:rsidRPr="00F56FD9">
        <w:rPr>
          <w:rFonts w:ascii="Times New Roman" w:hAnsi="Times New Roman" w:cs="Times New Roman"/>
          <w:sz w:val="24"/>
          <w:szCs w:val="24"/>
        </w:rPr>
        <w:t xml:space="preserve"> JAK-</w:t>
      </w:r>
      <w:r w:rsidR="00884753" w:rsidRPr="00F56FD9">
        <w:rPr>
          <w:rFonts w:ascii="Times New Roman" w:hAnsi="Times New Roman" w:cs="Times New Roman"/>
          <w:sz w:val="24"/>
          <w:szCs w:val="24"/>
        </w:rPr>
        <w:t>1</w:t>
      </w:r>
      <w:r w:rsidR="00A06DD8" w:rsidRPr="00F56FD9">
        <w:rPr>
          <w:rFonts w:ascii="Times New Roman" w:hAnsi="Times New Roman" w:cs="Times New Roman"/>
          <w:sz w:val="24"/>
          <w:szCs w:val="24"/>
        </w:rPr>
        <w:t xml:space="preserve"> selectivity</w:t>
      </w:r>
      <w:r w:rsidR="00884753" w:rsidRPr="00F56FD9">
        <w:rPr>
          <w:rFonts w:ascii="Times New Roman" w:hAnsi="Times New Roman" w:cs="Times New Roman"/>
          <w:sz w:val="24"/>
          <w:szCs w:val="24"/>
        </w:rPr>
        <w:t xml:space="preserve"> and doesn’t</w:t>
      </w:r>
      <w:r w:rsidR="00AF30D1" w:rsidRPr="00F56FD9">
        <w:rPr>
          <w:rFonts w:ascii="Times New Roman" w:hAnsi="Times New Roman" w:cs="Times New Roman"/>
          <w:sz w:val="24"/>
          <w:szCs w:val="24"/>
        </w:rPr>
        <w:t xml:space="preserve"> affect </w:t>
      </w:r>
      <w:r w:rsidR="00884753" w:rsidRPr="00F56FD9">
        <w:rPr>
          <w:rFonts w:ascii="Times New Roman" w:hAnsi="Times New Roman" w:cs="Times New Roman"/>
          <w:sz w:val="24"/>
          <w:szCs w:val="24"/>
        </w:rPr>
        <w:t>J</w:t>
      </w:r>
      <w:r w:rsidR="00E070FE">
        <w:rPr>
          <w:rFonts w:ascii="Times New Roman" w:hAnsi="Times New Roman" w:cs="Times New Roman"/>
          <w:sz w:val="24"/>
          <w:szCs w:val="24"/>
        </w:rPr>
        <w:t>AK</w:t>
      </w:r>
      <w:r w:rsidR="00884753" w:rsidRPr="00F56FD9">
        <w:rPr>
          <w:rFonts w:ascii="Times New Roman" w:hAnsi="Times New Roman" w:cs="Times New Roman"/>
          <w:sz w:val="24"/>
          <w:szCs w:val="24"/>
        </w:rPr>
        <w:t>2</w:t>
      </w:r>
      <w:r w:rsidR="00EE1A9E" w:rsidRPr="00F56FD9">
        <w:rPr>
          <w:rFonts w:ascii="Times New Roman" w:hAnsi="Times New Roman" w:cs="Times New Roman"/>
          <w:sz w:val="24"/>
          <w:szCs w:val="24"/>
        </w:rPr>
        <w:t>. Based on th</w:t>
      </w:r>
      <w:r w:rsidR="00D01128" w:rsidRPr="00F56FD9">
        <w:rPr>
          <w:rFonts w:ascii="Times New Roman" w:hAnsi="Times New Roman" w:cs="Times New Roman"/>
          <w:sz w:val="24"/>
          <w:szCs w:val="24"/>
        </w:rPr>
        <w:t xml:space="preserve">ese </w:t>
      </w:r>
      <w:r w:rsidR="00D043A7" w:rsidRPr="00F56FD9">
        <w:rPr>
          <w:rFonts w:ascii="Times New Roman" w:hAnsi="Times New Roman" w:cs="Times New Roman"/>
          <w:sz w:val="24"/>
          <w:szCs w:val="24"/>
        </w:rPr>
        <w:t>results, the top dose in the</w:t>
      </w:r>
      <w:r w:rsidR="00D043A7" w:rsidRPr="00F56FD9">
        <w:rPr>
          <w:rFonts w:ascii="Times New Roman" w:hAnsi="Times New Roman" w:cs="Times New Roman"/>
          <w:sz w:val="24"/>
          <w:szCs w:val="24"/>
          <w:shd w:val="clear" w:color="auto" w:fill="FFFFFF"/>
        </w:rPr>
        <w:t xml:space="preserve"> </w:t>
      </w:r>
      <w:r w:rsidR="00A052A4" w:rsidRPr="00F56FD9">
        <w:rPr>
          <w:rFonts w:ascii="Times New Roman" w:hAnsi="Times New Roman" w:cs="Times New Roman"/>
          <w:sz w:val="24"/>
          <w:szCs w:val="24"/>
          <w:shd w:val="clear" w:color="auto" w:fill="FFFFFF"/>
        </w:rPr>
        <w:t xml:space="preserve">Phase 2 and 3  </w:t>
      </w:r>
      <w:r w:rsidR="005B5D4B" w:rsidRPr="00F56FD9">
        <w:rPr>
          <w:rFonts w:ascii="Times New Roman" w:hAnsi="Times New Roman" w:cs="Times New Roman"/>
          <w:sz w:val="24"/>
          <w:szCs w:val="24"/>
        </w:rPr>
        <w:t xml:space="preserve">studies </w:t>
      </w:r>
      <w:r w:rsidR="006768C7" w:rsidRPr="00F56FD9">
        <w:rPr>
          <w:rFonts w:ascii="Times New Roman" w:hAnsi="Times New Roman" w:cs="Times New Roman"/>
          <w:sz w:val="24"/>
          <w:szCs w:val="24"/>
        </w:rPr>
        <w:t xml:space="preserve">in </w:t>
      </w:r>
      <w:r w:rsidR="006768C7" w:rsidRPr="00F56FD9">
        <w:rPr>
          <w:rFonts w:ascii="Times New Roman" w:hAnsi="Times New Roman" w:cs="Times New Roman"/>
          <w:sz w:val="24"/>
          <w:szCs w:val="24"/>
          <w:shd w:val="clear" w:color="auto" w:fill="FFFFFF"/>
        </w:rPr>
        <w:t>Atopic Dermatitis</w:t>
      </w:r>
      <w:r w:rsidR="006768C7" w:rsidRPr="00F56FD9">
        <w:rPr>
          <w:rFonts w:ascii="Times New Roman" w:hAnsi="Times New Roman" w:cs="Times New Roman"/>
          <w:sz w:val="24"/>
          <w:szCs w:val="24"/>
        </w:rPr>
        <w:t xml:space="preserve"> </w:t>
      </w:r>
      <w:r w:rsidR="005B5D4B" w:rsidRPr="00F56FD9">
        <w:rPr>
          <w:rFonts w:ascii="Times New Roman" w:hAnsi="Times New Roman" w:cs="Times New Roman"/>
          <w:sz w:val="24"/>
          <w:szCs w:val="24"/>
        </w:rPr>
        <w:t xml:space="preserve">was set at </w:t>
      </w:r>
      <w:r w:rsidR="00A06DD8" w:rsidRPr="00F56FD9">
        <w:rPr>
          <w:rFonts w:ascii="Times New Roman" w:hAnsi="Times New Roman" w:cs="Times New Roman"/>
          <w:sz w:val="24"/>
          <w:szCs w:val="24"/>
        </w:rPr>
        <w:t xml:space="preserve"> 200 mg</w:t>
      </w:r>
      <w:r w:rsidR="005B5D4B" w:rsidRPr="00F56FD9">
        <w:rPr>
          <w:rFonts w:ascii="Times New Roman" w:hAnsi="Times New Roman" w:cs="Times New Roman"/>
          <w:sz w:val="24"/>
          <w:szCs w:val="24"/>
        </w:rPr>
        <w:t xml:space="preserve"> daily.</w:t>
      </w:r>
    </w:p>
    <w:p w14:paraId="2044E9FF" w14:textId="77777777" w:rsidR="00F56FD9" w:rsidRPr="00F56FD9" w:rsidRDefault="00F56FD9" w:rsidP="00F56FD9">
      <w:pPr>
        <w:pStyle w:val="CommentText"/>
        <w:ind w:left="720" w:right="1320"/>
        <w:jc w:val="both"/>
        <w:rPr>
          <w:rFonts w:ascii="Times New Roman" w:hAnsi="Times New Roman" w:cs="Times New Roman"/>
          <w:sz w:val="24"/>
          <w:szCs w:val="24"/>
        </w:rPr>
      </w:pPr>
    </w:p>
    <w:p w14:paraId="3B84A48B" w14:textId="322AF2B9" w:rsidR="002E6CAD" w:rsidRPr="00F56FD9" w:rsidRDefault="00361499" w:rsidP="00F56FD9">
      <w:pPr>
        <w:pStyle w:val="Paragraph"/>
        <w:keepNext/>
        <w:ind w:left="720" w:right="1320"/>
        <w:jc w:val="both"/>
        <w:rPr>
          <w:rStyle w:val="Instructions"/>
          <w:rFonts w:asciiTheme="minorHAnsi" w:hAnsiTheme="minorHAnsi" w:cstheme="minorHAnsi"/>
          <w:color w:val="auto"/>
        </w:rPr>
      </w:pPr>
      <w:r w:rsidRPr="00F56FD9">
        <w:rPr>
          <w:shd w:val="clear" w:color="auto" w:fill="FFFFFF"/>
        </w:rPr>
        <w:t>The</w:t>
      </w:r>
      <w:r w:rsidR="004C407A" w:rsidRPr="00F56FD9">
        <w:rPr>
          <w:shd w:val="clear" w:color="auto" w:fill="FFFFFF"/>
        </w:rPr>
        <w:t> Ph</w:t>
      </w:r>
      <w:r w:rsidRPr="00F56FD9">
        <w:rPr>
          <w:shd w:val="clear" w:color="auto" w:fill="FFFFFF"/>
        </w:rPr>
        <w:t xml:space="preserve">ase </w:t>
      </w:r>
      <w:r w:rsidR="004C407A" w:rsidRPr="00F56FD9">
        <w:rPr>
          <w:shd w:val="clear" w:color="auto" w:fill="FFFFFF"/>
        </w:rPr>
        <w:t xml:space="preserve">2b </w:t>
      </w:r>
      <w:r w:rsidRPr="00F56FD9">
        <w:rPr>
          <w:shd w:val="clear" w:color="auto" w:fill="FFFFFF"/>
        </w:rPr>
        <w:t xml:space="preserve">study </w:t>
      </w:r>
      <w:r w:rsidR="004C407A" w:rsidRPr="00F56FD9">
        <w:rPr>
          <w:shd w:val="clear" w:color="auto" w:fill="FFFFFF"/>
        </w:rPr>
        <w:t xml:space="preserve">in </w:t>
      </w:r>
      <w:r w:rsidRPr="00F56FD9">
        <w:rPr>
          <w:shd w:val="clear" w:color="auto" w:fill="FFFFFF"/>
        </w:rPr>
        <w:t>A</w:t>
      </w:r>
      <w:r w:rsidR="00A659A0" w:rsidRPr="00F56FD9">
        <w:rPr>
          <w:shd w:val="clear" w:color="auto" w:fill="FFFFFF"/>
        </w:rPr>
        <w:t>D</w:t>
      </w:r>
      <w:r w:rsidR="004C407A" w:rsidRPr="00F56FD9">
        <w:rPr>
          <w:shd w:val="clear" w:color="auto" w:fill="FFFFFF"/>
        </w:rPr>
        <w:t xml:space="preserve"> was used not only to establish </w:t>
      </w:r>
      <w:r w:rsidRPr="00F56FD9">
        <w:rPr>
          <w:shd w:val="clear" w:color="auto" w:fill="FFFFFF"/>
        </w:rPr>
        <w:t>Proof of Concept (POC) in this indication</w:t>
      </w:r>
      <w:r w:rsidR="004C407A" w:rsidRPr="00F56FD9">
        <w:rPr>
          <w:shd w:val="clear" w:color="auto" w:fill="FFFFFF"/>
        </w:rPr>
        <w:t>, but also to validate PSAAD</w:t>
      </w:r>
      <w:r w:rsidR="00E070FE">
        <w:rPr>
          <w:shd w:val="clear" w:color="auto" w:fill="FFFFFF"/>
        </w:rPr>
        <w:t>.</w:t>
      </w:r>
      <w:r w:rsidR="004C407A" w:rsidRPr="00F56FD9">
        <w:rPr>
          <w:shd w:val="clear" w:color="auto" w:fill="FFFFFF"/>
        </w:rPr>
        <w:t xml:space="preserve"> </w:t>
      </w:r>
      <w:r w:rsidR="00C338BC" w:rsidRPr="00F56FD9">
        <w:rPr>
          <w:shd w:val="clear" w:color="auto" w:fill="FFFFFF"/>
        </w:rPr>
        <w:t xml:space="preserve">The PSAAD is a Patient Reported Outcome </w:t>
      </w:r>
      <w:r w:rsidR="001B3807" w:rsidRPr="00F56FD9">
        <w:rPr>
          <w:shd w:val="clear" w:color="auto" w:fill="FFFFFF"/>
        </w:rPr>
        <w:t xml:space="preserve">(PRO) </w:t>
      </w:r>
      <w:r w:rsidR="00C338BC" w:rsidRPr="00F56FD9">
        <w:rPr>
          <w:shd w:val="clear" w:color="auto" w:fill="FFFFFF"/>
        </w:rPr>
        <w:t>instrument that was developed in accordance with regulatory agency guidance to assess daily AD symptoms during the course of therapy.</w:t>
      </w:r>
      <w:r w:rsidR="00982B33" w:rsidRPr="00F56FD9">
        <w:rPr>
          <w:shd w:val="clear" w:color="auto" w:fill="FFFFFF"/>
        </w:rPr>
        <w:t xml:space="preserve"> </w:t>
      </w:r>
      <w:r w:rsidR="00C338BC" w:rsidRPr="00F56FD9">
        <w:rPr>
          <w:shd w:val="clear" w:color="auto" w:fill="FFFFFF"/>
        </w:rPr>
        <w:t xml:space="preserve">This instrument includes </w:t>
      </w:r>
      <w:r w:rsidR="0015515D">
        <w:rPr>
          <w:shd w:val="clear" w:color="auto" w:fill="FFFFFF"/>
        </w:rPr>
        <w:t>eleven</w:t>
      </w:r>
      <w:r w:rsidR="00C338BC" w:rsidRPr="00F56FD9">
        <w:rPr>
          <w:shd w:val="clear" w:color="auto" w:fill="FFFFFF"/>
        </w:rPr>
        <w:t xml:space="preserve"> relevant symptoms (itch, dryness, redness, flaking, discoloration, pain, bleeding, cracking, bumps, swelling, and weeping/oozing) of atopic dermatitis that can be used to measure comprehensibly all the skin manifestations of AD</w:t>
      </w:r>
      <w:r w:rsidR="0015515D">
        <w:rPr>
          <w:shd w:val="clear" w:color="auto" w:fill="FFFFFF"/>
        </w:rPr>
        <w:t>.</w:t>
      </w:r>
      <w:r w:rsidR="00C338BC" w:rsidRPr="00F56FD9">
        <w:rPr>
          <w:shd w:val="clear" w:color="auto" w:fill="FFFFFF"/>
        </w:rPr>
        <w:t xml:space="preserve"> </w:t>
      </w:r>
      <w:r w:rsidR="00371DD6" w:rsidRPr="00F56FD9">
        <w:rPr>
          <w:shd w:val="clear" w:color="auto" w:fill="FFFFFF"/>
        </w:rPr>
        <w:t xml:space="preserve">As a novel PRO, the validated PSAAD </w:t>
      </w:r>
      <w:r w:rsidR="00371DD6" w:rsidRPr="00F56FD9">
        <w:rPr>
          <w:shd w:val="clear" w:color="auto" w:fill="FFFFFF"/>
        </w:rPr>
        <w:lastRenderedPageBreak/>
        <w:t>is a great new tool for assessment of symptoms in AD clinical trials.</w:t>
      </w:r>
      <w:r w:rsidR="00982B33" w:rsidRPr="00F56FD9">
        <w:rPr>
          <w:shd w:val="clear" w:color="auto" w:fill="FFFFFF"/>
        </w:rPr>
        <w:t xml:space="preserve"> </w:t>
      </w:r>
      <w:r w:rsidR="000E347D">
        <w:rPr>
          <w:shd w:val="clear" w:color="auto" w:fill="FFFFFF"/>
        </w:rPr>
        <w:t>T</w:t>
      </w:r>
      <w:r w:rsidR="00982B33" w:rsidRPr="00F56FD9">
        <w:rPr>
          <w:shd w:val="clear" w:color="auto" w:fill="FFFFFF"/>
        </w:rPr>
        <w:t>he Phase 3 study included adolescents</w:t>
      </w:r>
      <w:r w:rsidR="003049F9" w:rsidRPr="00F56FD9">
        <w:rPr>
          <w:shd w:val="clear" w:color="auto" w:fill="FFFFFF"/>
        </w:rPr>
        <w:t xml:space="preserve">, incorporated an active control agent and used Carrie’s measurement </w:t>
      </w:r>
      <w:r w:rsidR="00122185" w:rsidRPr="00F56FD9">
        <w:rPr>
          <w:shd w:val="clear" w:color="auto" w:fill="FFFFFF"/>
        </w:rPr>
        <w:t>of sleep and nocturnal scratch monitoring.</w:t>
      </w:r>
      <w:r w:rsidR="00725124" w:rsidRPr="00F56FD9">
        <w:rPr>
          <w:shd w:val="clear" w:color="auto" w:fill="FFFFFF"/>
        </w:rPr>
        <w:t xml:space="preserve"> </w:t>
      </w:r>
      <w:r w:rsidR="002E6CAD" w:rsidRPr="00F56FD9">
        <w:rPr>
          <w:shd w:val="clear" w:color="auto" w:fill="FFFFFF"/>
        </w:rPr>
        <w:t xml:space="preserve">  </w:t>
      </w:r>
      <w:r w:rsidR="002E6CAD" w:rsidRPr="00F56FD9">
        <w:t>Atopic Dermatitis (AD) is a condition that not only leads to red inflamed skin, but also is characterized by extensive scratching, and sleep disturbances.</w:t>
      </w:r>
      <w:r w:rsidR="00725124" w:rsidRPr="00F56FD9">
        <w:rPr>
          <w:shd w:val="clear" w:color="auto" w:fill="FFFFFF"/>
        </w:rPr>
        <w:t xml:space="preserve"> </w:t>
      </w:r>
      <w:r w:rsidR="002E6CAD" w:rsidRPr="00F56FD9">
        <w:t xml:space="preserve">The use of validated digital wearable technology and associated algorithms provided objective and quantitative measurements of nocturnal scratching and sleep in a home environment over time.  The endpoints of nocturnal scratch and sleep were exploratory and optional endpoints in </w:t>
      </w:r>
      <w:r w:rsidR="0085768E">
        <w:t>two</w:t>
      </w:r>
      <w:r w:rsidR="002E6CAD" w:rsidRPr="00F56FD9">
        <w:t xml:space="preserve"> of the clinical Phase 3 studies</w:t>
      </w:r>
      <w:r w:rsidR="0085768E">
        <w:t xml:space="preserve">.  </w:t>
      </w:r>
      <w:r w:rsidR="002E6CAD" w:rsidRPr="00F56FD9">
        <w:t>Wrist worn accelerometers and associated novel digital endpoints provide</w:t>
      </w:r>
      <w:r w:rsidR="004E1065">
        <w:t>d</w:t>
      </w:r>
      <w:r w:rsidR="002E6CAD" w:rsidRPr="00F56FD9">
        <w:t xml:space="preserve"> quantitative knowledge regarding pharmacotherapies on the action of nocturnal scratching and sleep quantity in a symptomatic AD population, with low burden and done so passively over-time. In addition, these novel digital endpoints  will enhance our understanding of AD and provide future opportunities to refine and improve therapies for other conditions.</w:t>
      </w:r>
      <w:r w:rsidR="002E6CAD" w:rsidRPr="00F56FD9">
        <w:rPr>
          <w:rStyle w:val="normaltextrun"/>
          <w:rFonts w:asciiTheme="minorHAnsi" w:hAnsiTheme="minorHAnsi" w:cstheme="minorHAnsi"/>
          <w:shd w:val="clear" w:color="auto" w:fill="FFFFFF"/>
        </w:rPr>
        <w:t xml:space="preserve">  </w:t>
      </w:r>
      <w:r w:rsidR="002E6CAD" w:rsidRPr="00F56FD9">
        <w:rPr>
          <w:rStyle w:val="Instructions"/>
          <w:rFonts w:asciiTheme="minorHAnsi" w:hAnsiTheme="minorHAnsi" w:cstheme="minorHAnsi"/>
          <w:color w:val="auto"/>
        </w:rPr>
        <w:t xml:space="preserve">  </w:t>
      </w:r>
    </w:p>
    <w:p w14:paraId="42640BF8" w14:textId="211D73C8" w:rsidR="0017009E" w:rsidRDefault="00082204" w:rsidP="0017009E">
      <w:pPr>
        <w:pStyle w:val="Heading1"/>
        <w:spacing w:after="240" w:line="276" w:lineRule="auto"/>
        <w:ind w:left="720" w:right="1320"/>
        <w:jc w:val="both"/>
        <w:rPr>
          <w:b w:val="0"/>
          <w:bCs w:val="0"/>
          <w:sz w:val="24"/>
          <w:szCs w:val="24"/>
        </w:rPr>
      </w:pPr>
      <w:r>
        <w:rPr>
          <w:b w:val="0"/>
          <w:bCs w:val="0"/>
          <w:sz w:val="24"/>
          <w:szCs w:val="24"/>
        </w:rPr>
        <w:t xml:space="preserve">The field of JAK inhibitors has expanded dramatically since Pfizer’s introduction of tofacitinib to the market in </w:t>
      </w:r>
      <w:r w:rsidR="00D31280">
        <w:rPr>
          <w:b w:val="0"/>
          <w:bCs w:val="0"/>
          <w:sz w:val="24"/>
          <w:szCs w:val="24"/>
        </w:rPr>
        <w:t xml:space="preserve">2012.  </w:t>
      </w:r>
      <w:proofErr w:type="spellStart"/>
      <w:r w:rsidR="00AA2B40">
        <w:rPr>
          <w:b w:val="0"/>
          <w:bCs w:val="0"/>
          <w:sz w:val="24"/>
          <w:szCs w:val="24"/>
        </w:rPr>
        <w:t>Cibinqo</w:t>
      </w:r>
      <w:proofErr w:type="spellEnd"/>
      <w:r w:rsidR="00AA2B40">
        <w:rPr>
          <w:b w:val="0"/>
          <w:bCs w:val="0"/>
          <w:sz w:val="24"/>
          <w:szCs w:val="24"/>
        </w:rPr>
        <w:t xml:space="preserve"> (</w:t>
      </w:r>
      <w:proofErr w:type="spellStart"/>
      <w:r w:rsidR="00AA2B40">
        <w:rPr>
          <w:b w:val="0"/>
          <w:bCs w:val="0"/>
          <w:sz w:val="24"/>
          <w:szCs w:val="24"/>
        </w:rPr>
        <w:t>abrocitinib</w:t>
      </w:r>
      <w:proofErr w:type="spellEnd"/>
      <w:r w:rsidR="00AA2B40">
        <w:rPr>
          <w:b w:val="0"/>
          <w:bCs w:val="0"/>
          <w:sz w:val="24"/>
          <w:szCs w:val="24"/>
        </w:rPr>
        <w:t xml:space="preserve">) </w:t>
      </w:r>
      <w:r w:rsidR="007C67BD">
        <w:rPr>
          <w:b w:val="0"/>
          <w:bCs w:val="0"/>
          <w:sz w:val="24"/>
          <w:szCs w:val="24"/>
        </w:rPr>
        <w:t xml:space="preserve">is one of the latest members of this pipeline of JAK inhibitors and </w:t>
      </w:r>
      <w:r w:rsidR="00AA2B40">
        <w:rPr>
          <w:b w:val="0"/>
          <w:bCs w:val="0"/>
          <w:sz w:val="24"/>
          <w:szCs w:val="24"/>
        </w:rPr>
        <w:t xml:space="preserve">offers </w:t>
      </w:r>
      <w:r w:rsidR="00C353DA">
        <w:rPr>
          <w:b w:val="0"/>
          <w:bCs w:val="0"/>
          <w:sz w:val="24"/>
          <w:szCs w:val="24"/>
        </w:rPr>
        <w:t xml:space="preserve">a new treatment option for patients with atopic dermatitis, a disease </w:t>
      </w:r>
      <w:r w:rsidR="00521C66">
        <w:rPr>
          <w:b w:val="0"/>
          <w:bCs w:val="0"/>
          <w:sz w:val="24"/>
          <w:szCs w:val="24"/>
        </w:rPr>
        <w:t xml:space="preserve">that poses a significant burden on patients who have it.  </w:t>
      </w:r>
    </w:p>
    <w:p w14:paraId="1E672B72" w14:textId="5637BB1E" w:rsidR="004A4C2B" w:rsidRDefault="00220E0B" w:rsidP="004A4C2B">
      <w:pPr>
        <w:pStyle w:val="Heading1"/>
        <w:spacing w:after="240" w:line="276" w:lineRule="auto"/>
        <w:ind w:left="720" w:right="1320"/>
        <w:jc w:val="both"/>
        <w:rPr>
          <w:sz w:val="24"/>
          <w:szCs w:val="24"/>
        </w:rPr>
      </w:pPr>
      <w:r>
        <w:rPr>
          <w:sz w:val="24"/>
          <w:szCs w:val="24"/>
        </w:rPr>
        <w:t>Publication List:</w:t>
      </w:r>
    </w:p>
    <w:p w14:paraId="28C8FEB6" w14:textId="239A8194" w:rsidR="00220E0B" w:rsidRPr="003C1102" w:rsidRDefault="00BC61F0" w:rsidP="00302586">
      <w:pPr>
        <w:ind w:left="720" w:right="1320"/>
        <w:jc w:val="both"/>
        <w:rPr>
          <w:rStyle w:val="docsum-journal-citation"/>
          <w:rFonts w:ascii="Arial" w:hAnsi="Arial" w:cs="Arial"/>
          <w:sz w:val="20"/>
          <w:szCs w:val="20"/>
        </w:rPr>
      </w:pPr>
      <w:hyperlink r:id="rId14" w:history="1">
        <w:r w:rsidR="00220E0B" w:rsidRPr="003C1102">
          <w:rPr>
            <w:rFonts w:ascii="Arial" w:hAnsi="Arial" w:cs="Arial"/>
            <w:sz w:val="20"/>
            <w:szCs w:val="20"/>
            <w:shd w:val="clear" w:color="auto" w:fill="FFFFFF"/>
          </w:rPr>
          <w:br/>
        </w:r>
        <w:r w:rsidR="00220E0B" w:rsidRPr="003C1102">
          <w:rPr>
            <w:rStyle w:val="Hyperlink"/>
            <w:rFonts w:ascii="Arial" w:hAnsi="Arial" w:cs="Arial"/>
            <w:color w:val="auto"/>
            <w:sz w:val="20"/>
            <w:szCs w:val="20"/>
            <w:u w:val="none"/>
            <w:shd w:val="clear" w:color="auto" w:fill="FFFFFF"/>
          </w:rPr>
          <w:t>(1) Evaluation of a Janus kinase 1 inhibitor, PF-04965842, in healthy subjects: A phase 1, randomized, placebo-controlled, dose-escalation study.</w:t>
        </w:r>
      </w:hyperlink>
      <w:r w:rsidR="00220E0B" w:rsidRPr="003C1102">
        <w:rPr>
          <w:rFonts w:ascii="Arial" w:hAnsi="Arial" w:cs="Arial"/>
          <w:sz w:val="20"/>
          <w:szCs w:val="20"/>
        </w:rPr>
        <w:t xml:space="preserve"> </w:t>
      </w:r>
      <w:r w:rsidR="00220E0B" w:rsidRPr="003C1102">
        <w:rPr>
          <w:rStyle w:val="docsum-authors"/>
          <w:rFonts w:ascii="Arial" w:hAnsi="Arial" w:cs="Arial"/>
          <w:sz w:val="20"/>
          <w:szCs w:val="20"/>
        </w:rPr>
        <w:t>Peeva E, Hodge MR, Kieras E, Vazquez ML, Goteti K, Tarabar SG, Alvey CW, Banfield C.</w:t>
      </w:r>
      <w:r w:rsidR="00E84651">
        <w:rPr>
          <w:rStyle w:val="docsum-authors"/>
          <w:rFonts w:ascii="Arial" w:hAnsi="Arial" w:cs="Arial"/>
          <w:sz w:val="20"/>
          <w:szCs w:val="20"/>
        </w:rPr>
        <w:t xml:space="preserve"> </w:t>
      </w:r>
      <w:r w:rsidR="00220E0B" w:rsidRPr="00E84651">
        <w:rPr>
          <w:rStyle w:val="docsum-journal-citation"/>
          <w:rFonts w:ascii="Arial" w:hAnsi="Arial" w:cs="Arial"/>
          <w:i/>
          <w:iCs/>
          <w:sz w:val="20"/>
          <w:szCs w:val="20"/>
        </w:rPr>
        <w:t>Br J Clin Pharmacol.</w:t>
      </w:r>
      <w:r w:rsidR="00220E0B" w:rsidRPr="003C1102">
        <w:rPr>
          <w:rStyle w:val="docsum-journal-citation"/>
          <w:rFonts w:ascii="Arial" w:hAnsi="Arial" w:cs="Arial"/>
          <w:sz w:val="20"/>
          <w:szCs w:val="20"/>
        </w:rPr>
        <w:t xml:space="preserve"> </w:t>
      </w:r>
      <w:r w:rsidR="00220E0B" w:rsidRPr="00E84651">
        <w:rPr>
          <w:rStyle w:val="docsum-journal-citation"/>
          <w:rFonts w:ascii="Arial" w:hAnsi="Arial" w:cs="Arial"/>
          <w:b/>
          <w:bCs/>
          <w:sz w:val="20"/>
          <w:szCs w:val="20"/>
        </w:rPr>
        <w:t>2018</w:t>
      </w:r>
      <w:r w:rsidR="00E84651">
        <w:rPr>
          <w:rStyle w:val="docsum-journal-citation"/>
          <w:rFonts w:ascii="Arial" w:hAnsi="Arial" w:cs="Arial"/>
          <w:sz w:val="20"/>
          <w:szCs w:val="20"/>
        </w:rPr>
        <w:t xml:space="preserve">, </w:t>
      </w:r>
      <w:r w:rsidR="00220E0B" w:rsidRPr="00E84651">
        <w:rPr>
          <w:rStyle w:val="docsum-journal-citation"/>
          <w:rFonts w:ascii="Arial" w:hAnsi="Arial" w:cs="Arial"/>
          <w:i/>
          <w:iCs/>
          <w:sz w:val="20"/>
          <w:szCs w:val="20"/>
        </w:rPr>
        <w:t>84</w:t>
      </w:r>
      <w:r w:rsidR="00E84651">
        <w:rPr>
          <w:rStyle w:val="docsum-journal-citation"/>
          <w:rFonts w:ascii="Arial" w:hAnsi="Arial" w:cs="Arial"/>
          <w:sz w:val="20"/>
          <w:szCs w:val="20"/>
        </w:rPr>
        <w:t>,</w:t>
      </w:r>
      <w:r w:rsidR="00220E0B" w:rsidRPr="003C1102">
        <w:rPr>
          <w:rStyle w:val="docsum-journal-citation"/>
          <w:rFonts w:ascii="Arial" w:hAnsi="Arial" w:cs="Arial"/>
          <w:sz w:val="20"/>
          <w:szCs w:val="20"/>
        </w:rPr>
        <w:t>1776-1788.</w:t>
      </w:r>
    </w:p>
    <w:p w14:paraId="41E04CC8" w14:textId="77777777" w:rsidR="00220E0B" w:rsidRPr="003C1102" w:rsidRDefault="00220E0B" w:rsidP="00302586">
      <w:pPr>
        <w:shd w:val="clear" w:color="auto" w:fill="FFFFFF"/>
        <w:ind w:left="720" w:right="1320"/>
        <w:jc w:val="both"/>
        <w:rPr>
          <w:rStyle w:val="docsum-journal-citation"/>
          <w:rFonts w:ascii="Arial" w:hAnsi="Arial" w:cs="Arial"/>
          <w:sz w:val="20"/>
          <w:szCs w:val="20"/>
        </w:rPr>
      </w:pPr>
    </w:p>
    <w:p w14:paraId="58AA7FF9" w14:textId="7969D5FE" w:rsidR="00220E0B" w:rsidRPr="003C1102" w:rsidRDefault="00BC61F0" w:rsidP="00302586">
      <w:pPr>
        <w:ind w:left="720" w:right="1320"/>
        <w:jc w:val="both"/>
        <w:rPr>
          <w:rStyle w:val="docsum-journal-citation"/>
          <w:rFonts w:ascii="Arial" w:hAnsi="Arial" w:cs="Arial"/>
          <w:sz w:val="20"/>
          <w:szCs w:val="20"/>
        </w:rPr>
      </w:pPr>
      <w:hyperlink r:id="rId15" w:history="1">
        <w:r w:rsidR="00220E0B" w:rsidRPr="003C1102">
          <w:rPr>
            <w:rFonts w:ascii="Arial" w:hAnsi="Arial" w:cs="Arial"/>
            <w:sz w:val="20"/>
            <w:szCs w:val="20"/>
            <w:shd w:val="clear" w:color="auto" w:fill="FFFFFF"/>
          </w:rPr>
          <w:br/>
        </w:r>
        <w:r w:rsidR="00220E0B" w:rsidRPr="003C1102">
          <w:rPr>
            <w:rStyle w:val="Hyperlink"/>
            <w:rFonts w:ascii="Arial" w:hAnsi="Arial" w:cs="Arial"/>
            <w:color w:val="auto"/>
            <w:sz w:val="20"/>
            <w:szCs w:val="20"/>
            <w:u w:val="none"/>
            <w:shd w:val="clear" w:color="auto" w:fill="FFFFFF"/>
          </w:rPr>
          <w:t>(2) Efficacy and safety of the Janus kinase 1 inhibitor PF-04965842 in patients with moderate-to-severe psoriasis: phase II, randomized, double-blind, placebo-controlled study.</w:t>
        </w:r>
      </w:hyperlink>
      <w:r w:rsidR="00220E0B" w:rsidRPr="003C1102">
        <w:rPr>
          <w:rFonts w:ascii="Arial" w:hAnsi="Arial" w:cs="Arial"/>
          <w:sz w:val="20"/>
          <w:szCs w:val="20"/>
        </w:rPr>
        <w:t xml:space="preserve"> </w:t>
      </w:r>
      <w:proofErr w:type="spellStart"/>
      <w:r w:rsidR="00220E0B" w:rsidRPr="003C1102">
        <w:rPr>
          <w:rStyle w:val="docsum-authors"/>
          <w:rFonts w:ascii="Arial" w:hAnsi="Arial" w:cs="Arial"/>
          <w:sz w:val="20"/>
          <w:szCs w:val="20"/>
        </w:rPr>
        <w:t>Schmieder</w:t>
      </w:r>
      <w:proofErr w:type="spellEnd"/>
      <w:r w:rsidR="00220E0B" w:rsidRPr="003C1102">
        <w:rPr>
          <w:rStyle w:val="docsum-authors"/>
          <w:rFonts w:ascii="Arial" w:hAnsi="Arial" w:cs="Arial"/>
          <w:sz w:val="20"/>
          <w:szCs w:val="20"/>
        </w:rPr>
        <w:t xml:space="preserve"> GJ, </w:t>
      </w:r>
      <w:proofErr w:type="spellStart"/>
      <w:r w:rsidR="00220E0B" w:rsidRPr="003C1102">
        <w:rPr>
          <w:rStyle w:val="docsum-authors"/>
          <w:rFonts w:ascii="Arial" w:hAnsi="Arial" w:cs="Arial"/>
          <w:sz w:val="20"/>
          <w:szCs w:val="20"/>
        </w:rPr>
        <w:t>Draelos</w:t>
      </w:r>
      <w:proofErr w:type="spellEnd"/>
      <w:r w:rsidR="00220E0B" w:rsidRPr="003C1102">
        <w:rPr>
          <w:rStyle w:val="docsum-authors"/>
          <w:rFonts w:ascii="Arial" w:hAnsi="Arial" w:cs="Arial"/>
          <w:sz w:val="20"/>
          <w:szCs w:val="20"/>
        </w:rPr>
        <w:t xml:space="preserve"> ZD, </w:t>
      </w:r>
      <w:proofErr w:type="spellStart"/>
      <w:r w:rsidR="00220E0B" w:rsidRPr="003C1102">
        <w:rPr>
          <w:rStyle w:val="docsum-authors"/>
          <w:rFonts w:ascii="Arial" w:hAnsi="Arial" w:cs="Arial"/>
          <w:sz w:val="20"/>
          <w:szCs w:val="20"/>
        </w:rPr>
        <w:t>Pariser</w:t>
      </w:r>
      <w:proofErr w:type="spellEnd"/>
      <w:r w:rsidR="00220E0B" w:rsidRPr="003C1102">
        <w:rPr>
          <w:rStyle w:val="docsum-authors"/>
          <w:rFonts w:ascii="Arial" w:hAnsi="Arial" w:cs="Arial"/>
          <w:sz w:val="20"/>
          <w:szCs w:val="20"/>
        </w:rPr>
        <w:t xml:space="preserve"> DM, Banfield C, Cox L, Hodge M, Kieras E, Parsons-Rich D, Menon S, Salganik M, Page K, Peeva E.</w:t>
      </w:r>
      <w:r w:rsidR="00E84651">
        <w:rPr>
          <w:rStyle w:val="docsum-authors"/>
          <w:rFonts w:ascii="Arial" w:hAnsi="Arial" w:cs="Arial"/>
          <w:sz w:val="20"/>
          <w:szCs w:val="20"/>
        </w:rPr>
        <w:t xml:space="preserve"> </w:t>
      </w:r>
      <w:r w:rsidR="00220E0B" w:rsidRPr="00E84651">
        <w:rPr>
          <w:rStyle w:val="docsum-journal-citation"/>
          <w:rFonts w:ascii="Arial" w:hAnsi="Arial" w:cs="Arial"/>
          <w:i/>
          <w:iCs/>
          <w:sz w:val="20"/>
          <w:szCs w:val="20"/>
        </w:rPr>
        <w:t>Br J Dermatol.</w:t>
      </w:r>
      <w:r w:rsidR="00220E0B" w:rsidRPr="003C1102">
        <w:rPr>
          <w:rStyle w:val="docsum-journal-citation"/>
          <w:rFonts w:ascii="Arial" w:hAnsi="Arial" w:cs="Arial"/>
          <w:sz w:val="20"/>
          <w:szCs w:val="20"/>
        </w:rPr>
        <w:t xml:space="preserve"> </w:t>
      </w:r>
      <w:r w:rsidR="00220E0B" w:rsidRPr="00E84651">
        <w:rPr>
          <w:rStyle w:val="docsum-journal-citation"/>
          <w:rFonts w:ascii="Arial" w:hAnsi="Arial" w:cs="Arial"/>
          <w:b/>
          <w:bCs/>
          <w:sz w:val="20"/>
          <w:szCs w:val="20"/>
        </w:rPr>
        <w:t>2018</w:t>
      </w:r>
      <w:r w:rsidR="00E84651">
        <w:rPr>
          <w:rStyle w:val="docsum-journal-citation"/>
          <w:rFonts w:ascii="Arial" w:hAnsi="Arial" w:cs="Arial"/>
          <w:sz w:val="20"/>
          <w:szCs w:val="20"/>
        </w:rPr>
        <w:t>,</w:t>
      </w:r>
      <w:r w:rsidR="00220E0B" w:rsidRPr="00E84651">
        <w:rPr>
          <w:rStyle w:val="docsum-journal-citation"/>
          <w:rFonts w:ascii="Arial" w:hAnsi="Arial" w:cs="Arial"/>
          <w:i/>
          <w:iCs/>
          <w:sz w:val="20"/>
          <w:szCs w:val="20"/>
        </w:rPr>
        <w:t>179</w:t>
      </w:r>
      <w:r w:rsidR="00E84651">
        <w:rPr>
          <w:rStyle w:val="docsum-journal-citation"/>
          <w:rFonts w:ascii="Arial" w:hAnsi="Arial" w:cs="Arial"/>
          <w:sz w:val="20"/>
          <w:szCs w:val="20"/>
        </w:rPr>
        <w:t>,</w:t>
      </w:r>
      <w:r w:rsidR="00220E0B" w:rsidRPr="003C1102">
        <w:rPr>
          <w:rStyle w:val="docsum-journal-citation"/>
          <w:rFonts w:ascii="Arial" w:hAnsi="Arial" w:cs="Arial"/>
          <w:sz w:val="20"/>
          <w:szCs w:val="20"/>
        </w:rPr>
        <w:t>54.</w:t>
      </w:r>
    </w:p>
    <w:p w14:paraId="1FFC5D42" w14:textId="77777777" w:rsidR="00220E0B" w:rsidRPr="003C1102" w:rsidRDefault="00220E0B" w:rsidP="00302586">
      <w:pPr>
        <w:shd w:val="clear" w:color="auto" w:fill="FFFFFF"/>
        <w:ind w:left="720" w:right="1320"/>
        <w:jc w:val="both"/>
        <w:rPr>
          <w:rStyle w:val="docsum-journal-citation"/>
          <w:rFonts w:ascii="Arial" w:hAnsi="Arial" w:cs="Arial"/>
          <w:sz w:val="20"/>
          <w:szCs w:val="20"/>
        </w:rPr>
      </w:pPr>
    </w:p>
    <w:p w14:paraId="20487442" w14:textId="6C435932" w:rsidR="00220E0B" w:rsidRPr="003C1102" w:rsidRDefault="00220E0B" w:rsidP="00302586">
      <w:pPr>
        <w:ind w:left="720" w:right="1320"/>
        <w:jc w:val="both"/>
        <w:rPr>
          <w:rStyle w:val="docsum-journal-citation"/>
          <w:rFonts w:ascii="Arial" w:hAnsi="Arial" w:cs="Arial"/>
          <w:sz w:val="20"/>
          <w:szCs w:val="20"/>
        </w:rPr>
      </w:pPr>
      <w:r w:rsidRPr="003C1102">
        <w:rPr>
          <w:rFonts w:ascii="Arial" w:hAnsi="Arial" w:cs="Arial"/>
          <w:sz w:val="20"/>
          <w:szCs w:val="20"/>
        </w:rPr>
        <w:t xml:space="preserve">(3) </w:t>
      </w:r>
      <w:hyperlink r:id="rId16" w:history="1">
        <w:r w:rsidRPr="003C1102">
          <w:rPr>
            <w:rStyle w:val="Hyperlink"/>
            <w:rFonts w:ascii="Arial" w:hAnsi="Arial" w:cs="Arial"/>
            <w:color w:val="auto"/>
            <w:sz w:val="20"/>
            <w:szCs w:val="20"/>
            <w:u w:val="none"/>
            <w:shd w:val="clear" w:color="auto" w:fill="FFFFFF"/>
          </w:rPr>
          <w:t>Efficacy and Safety of Oral Janus Kinase 1 Inhibitor </w:t>
        </w:r>
        <w:r w:rsidRPr="003C1102">
          <w:rPr>
            <w:rStyle w:val="Hyperlink"/>
            <w:rFonts w:ascii="Arial" w:hAnsi="Arial" w:cs="Arial"/>
            <w:b/>
            <w:bCs/>
            <w:color w:val="auto"/>
            <w:sz w:val="20"/>
            <w:szCs w:val="20"/>
            <w:u w:val="none"/>
            <w:shd w:val="clear" w:color="auto" w:fill="FFFFFF"/>
          </w:rPr>
          <w:t>Abrocitinib</w:t>
        </w:r>
        <w:r w:rsidRPr="003C1102">
          <w:rPr>
            <w:rStyle w:val="Hyperlink"/>
            <w:rFonts w:ascii="Arial" w:hAnsi="Arial" w:cs="Arial"/>
            <w:color w:val="auto"/>
            <w:sz w:val="20"/>
            <w:szCs w:val="20"/>
            <w:u w:val="none"/>
            <w:shd w:val="clear" w:color="auto" w:fill="FFFFFF"/>
          </w:rPr>
          <w:t xml:space="preserve"> for Patients </w:t>
        </w:r>
        <w:proofErr w:type="gramStart"/>
        <w:r w:rsidRPr="003C1102">
          <w:rPr>
            <w:rStyle w:val="Hyperlink"/>
            <w:rFonts w:ascii="Arial" w:hAnsi="Arial" w:cs="Arial"/>
            <w:color w:val="auto"/>
            <w:sz w:val="20"/>
            <w:szCs w:val="20"/>
            <w:u w:val="none"/>
            <w:shd w:val="clear" w:color="auto" w:fill="FFFFFF"/>
          </w:rPr>
          <w:t>With</w:t>
        </w:r>
        <w:proofErr w:type="gramEnd"/>
        <w:r w:rsidRPr="003C1102">
          <w:rPr>
            <w:rStyle w:val="Hyperlink"/>
            <w:rFonts w:ascii="Arial" w:hAnsi="Arial" w:cs="Arial"/>
            <w:color w:val="auto"/>
            <w:sz w:val="20"/>
            <w:szCs w:val="20"/>
            <w:u w:val="none"/>
            <w:shd w:val="clear" w:color="auto" w:fill="FFFFFF"/>
          </w:rPr>
          <w:t xml:space="preserve"> Atopic Dermatitis: A Phase 2 Randomized Clinical Trial.</w:t>
        </w:r>
      </w:hyperlink>
      <w:r w:rsidRPr="003C1102">
        <w:rPr>
          <w:rFonts w:ascii="Arial" w:hAnsi="Arial" w:cs="Arial"/>
          <w:sz w:val="20"/>
          <w:szCs w:val="20"/>
        </w:rPr>
        <w:t xml:space="preserve"> </w:t>
      </w:r>
      <w:r w:rsidRPr="003C1102">
        <w:rPr>
          <w:rStyle w:val="docsum-authors"/>
          <w:rFonts w:ascii="Arial" w:hAnsi="Arial" w:cs="Arial"/>
          <w:sz w:val="20"/>
          <w:szCs w:val="20"/>
        </w:rPr>
        <w:t xml:space="preserve">Gooderham MJ, Forman SB, Bissonnette R, Beebe JS, Zhang W, Banfield C, Zhu L, </w:t>
      </w:r>
      <w:proofErr w:type="spellStart"/>
      <w:r w:rsidRPr="003C1102">
        <w:rPr>
          <w:rStyle w:val="docsum-authors"/>
          <w:rFonts w:ascii="Arial" w:hAnsi="Arial" w:cs="Arial"/>
          <w:sz w:val="20"/>
          <w:szCs w:val="20"/>
        </w:rPr>
        <w:t>Papacharalambous</w:t>
      </w:r>
      <w:proofErr w:type="spellEnd"/>
      <w:r w:rsidRPr="003C1102">
        <w:rPr>
          <w:rStyle w:val="docsum-authors"/>
          <w:rFonts w:ascii="Arial" w:hAnsi="Arial" w:cs="Arial"/>
          <w:sz w:val="20"/>
          <w:szCs w:val="20"/>
        </w:rPr>
        <w:t xml:space="preserve"> J, Vincent MS, Peeva E.</w:t>
      </w:r>
      <w:r w:rsidRPr="003C1102">
        <w:rPr>
          <w:rStyle w:val="docsum-journal-citation"/>
          <w:rFonts w:ascii="Arial" w:hAnsi="Arial" w:cs="Arial"/>
          <w:i/>
          <w:iCs/>
          <w:sz w:val="20"/>
          <w:szCs w:val="20"/>
        </w:rPr>
        <w:t>JAMA Dermatol.</w:t>
      </w:r>
      <w:r w:rsidRPr="003C1102">
        <w:rPr>
          <w:rStyle w:val="docsum-journal-citation"/>
          <w:rFonts w:ascii="Arial" w:hAnsi="Arial" w:cs="Arial"/>
          <w:sz w:val="20"/>
          <w:szCs w:val="20"/>
        </w:rPr>
        <w:t xml:space="preserve"> </w:t>
      </w:r>
      <w:r w:rsidRPr="003C1102">
        <w:rPr>
          <w:rStyle w:val="docsum-journal-citation"/>
          <w:rFonts w:ascii="Arial" w:hAnsi="Arial" w:cs="Arial"/>
          <w:b/>
          <w:bCs/>
          <w:sz w:val="20"/>
          <w:szCs w:val="20"/>
        </w:rPr>
        <w:t>2019</w:t>
      </w:r>
      <w:r w:rsidR="00E84651">
        <w:rPr>
          <w:rStyle w:val="docsum-journal-citation"/>
          <w:rFonts w:ascii="Arial" w:hAnsi="Arial" w:cs="Arial"/>
          <w:sz w:val="20"/>
          <w:szCs w:val="20"/>
        </w:rPr>
        <w:t>,</w:t>
      </w:r>
      <w:r w:rsidRPr="00E84651">
        <w:rPr>
          <w:rStyle w:val="docsum-journal-citation"/>
          <w:rFonts w:ascii="Arial" w:hAnsi="Arial" w:cs="Arial"/>
          <w:i/>
          <w:iCs/>
          <w:sz w:val="20"/>
          <w:szCs w:val="20"/>
        </w:rPr>
        <w:t>155</w:t>
      </w:r>
      <w:r w:rsidR="00E84651">
        <w:rPr>
          <w:rStyle w:val="docsum-journal-citation"/>
          <w:rFonts w:ascii="Arial" w:hAnsi="Arial" w:cs="Arial"/>
          <w:i/>
          <w:iCs/>
          <w:sz w:val="20"/>
          <w:szCs w:val="20"/>
        </w:rPr>
        <w:t>,</w:t>
      </w:r>
      <w:r w:rsidRPr="003C1102">
        <w:rPr>
          <w:rStyle w:val="docsum-journal-citation"/>
          <w:rFonts w:ascii="Arial" w:hAnsi="Arial" w:cs="Arial"/>
          <w:sz w:val="20"/>
          <w:szCs w:val="20"/>
        </w:rPr>
        <w:t>1371-1379.</w:t>
      </w:r>
    </w:p>
    <w:p w14:paraId="16A0D947" w14:textId="77777777" w:rsidR="00220E0B" w:rsidRPr="003C1102" w:rsidRDefault="00220E0B" w:rsidP="00302586">
      <w:pPr>
        <w:shd w:val="clear" w:color="auto" w:fill="FFFFFF"/>
        <w:ind w:left="720" w:right="1320"/>
        <w:jc w:val="both"/>
        <w:rPr>
          <w:rStyle w:val="docsum-journal-citation"/>
          <w:rFonts w:ascii="Arial" w:hAnsi="Arial" w:cs="Arial"/>
          <w:sz w:val="20"/>
          <w:szCs w:val="20"/>
        </w:rPr>
      </w:pPr>
    </w:p>
    <w:p w14:paraId="78CFCCD3" w14:textId="6EC1D0F7" w:rsidR="00D253E1" w:rsidRPr="003C1102" w:rsidRDefault="00220E0B" w:rsidP="00302586">
      <w:pPr>
        <w:ind w:left="720" w:right="1320"/>
        <w:jc w:val="both"/>
        <w:rPr>
          <w:rStyle w:val="docsum-journal-citation"/>
          <w:rFonts w:ascii="Arial" w:hAnsi="Arial" w:cs="Arial"/>
          <w:sz w:val="20"/>
          <w:szCs w:val="20"/>
        </w:rPr>
      </w:pPr>
      <w:r w:rsidRPr="003C1102">
        <w:rPr>
          <w:rFonts w:ascii="Arial" w:hAnsi="Arial" w:cs="Arial"/>
          <w:sz w:val="20"/>
          <w:szCs w:val="20"/>
        </w:rPr>
        <w:t xml:space="preserve">(4) </w:t>
      </w:r>
      <w:hyperlink r:id="rId17" w:history="1">
        <w:r w:rsidRPr="003C1102">
          <w:rPr>
            <w:rStyle w:val="Hyperlink"/>
            <w:rFonts w:ascii="Arial" w:hAnsi="Arial" w:cs="Arial"/>
            <w:color w:val="auto"/>
            <w:sz w:val="20"/>
            <w:szCs w:val="20"/>
            <w:u w:val="none"/>
            <w:shd w:val="clear" w:color="auto" w:fill="FFFFFF"/>
          </w:rPr>
          <w:t>Development and Content Validation of Pruritus and Symptoms Assessment for Atopic Dermatitis (PSAAD) in Adolescents and Adults with Moderate-to-Severe AD.</w:t>
        </w:r>
      </w:hyperlink>
      <w:r w:rsidRPr="003C1102">
        <w:rPr>
          <w:rFonts w:ascii="Arial" w:hAnsi="Arial" w:cs="Arial"/>
          <w:sz w:val="20"/>
          <w:szCs w:val="20"/>
        </w:rPr>
        <w:t xml:space="preserve"> </w:t>
      </w:r>
      <w:r w:rsidRPr="003C1102">
        <w:rPr>
          <w:rStyle w:val="docsum-authors"/>
          <w:rFonts w:ascii="Arial" w:hAnsi="Arial" w:cs="Arial"/>
          <w:sz w:val="20"/>
          <w:szCs w:val="20"/>
        </w:rPr>
        <w:t xml:space="preserve">Hall R, Lebwohl MG, Bushmakin AG, Simpson EL, Gooderham MJ, </w:t>
      </w:r>
      <w:proofErr w:type="spellStart"/>
      <w:r w:rsidRPr="003C1102">
        <w:rPr>
          <w:rStyle w:val="docsum-authors"/>
          <w:rFonts w:ascii="Arial" w:hAnsi="Arial" w:cs="Arial"/>
          <w:sz w:val="20"/>
          <w:szCs w:val="20"/>
        </w:rPr>
        <w:t>Wollenberg</w:t>
      </w:r>
      <w:proofErr w:type="spellEnd"/>
      <w:r w:rsidRPr="003C1102">
        <w:rPr>
          <w:rStyle w:val="docsum-authors"/>
          <w:rFonts w:ascii="Arial" w:hAnsi="Arial" w:cs="Arial"/>
          <w:sz w:val="20"/>
          <w:szCs w:val="20"/>
        </w:rPr>
        <w:t xml:space="preserve"> A, </w:t>
      </w:r>
      <w:proofErr w:type="spellStart"/>
      <w:r w:rsidRPr="003C1102">
        <w:rPr>
          <w:rStyle w:val="docsum-authors"/>
          <w:rFonts w:ascii="Arial" w:hAnsi="Arial" w:cs="Arial"/>
          <w:sz w:val="20"/>
          <w:szCs w:val="20"/>
        </w:rPr>
        <w:t>Gater</w:t>
      </w:r>
      <w:proofErr w:type="spellEnd"/>
      <w:r w:rsidRPr="003C1102">
        <w:rPr>
          <w:rStyle w:val="docsum-authors"/>
          <w:rFonts w:ascii="Arial" w:hAnsi="Arial" w:cs="Arial"/>
          <w:sz w:val="20"/>
          <w:szCs w:val="20"/>
        </w:rPr>
        <w:t xml:space="preserve"> A, Wells JR, Cappelleri JC, Hsu MA, </w:t>
      </w:r>
      <w:proofErr w:type="spellStart"/>
      <w:r w:rsidRPr="003C1102">
        <w:rPr>
          <w:rStyle w:val="docsum-authors"/>
          <w:rFonts w:ascii="Arial" w:hAnsi="Arial" w:cs="Arial"/>
          <w:sz w:val="20"/>
          <w:szCs w:val="20"/>
        </w:rPr>
        <w:t>Papacharalambous</w:t>
      </w:r>
      <w:proofErr w:type="spellEnd"/>
      <w:r w:rsidRPr="003C1102">
        <w:rPr>
          <w:rStyle w:val="docsum-authors"/>
          <w:rFonts w:ascii="Arial" w:hAnsi="Arial" w:cs="Arial"/>
          <w:sz w:val="20"/>
          <w:szCs w:val="20"/>
        </w:rPr>
        <w:t xml:space="preserve"> J, Peeva E, Tallman AM, Zhang W, Chen </w:t>
      </w:r>
      <w:proofErr w:type="spellStart"/>
      <w:r w:rsidRPr="003C1102">
        <w:rPr>
          <w:rStyle w:val="docsum-authors"/>
          <w:rFonts w:ascii="Arial" w:hAnsi="Arial" w:cs="Arial"/>
          <w:i/>
          <w:iCs/>
          <w:sz w:val="20"/>
          <w:szCs w:val="20"/>
        </w:rPr>
        <w:t>L.</w:t>
      </w:r>
      <w:r w:rsidRPr="003C1102">
        <w:rPr>
          <w:rStyle w:val="docsum-journal-citation"/>
          <w:rFonts w:ascii="Arial" w:hAnsi="Arial" w:cs="Arial"/>
          <w:i/>
          <w:iCs/>
          <w:sz w:val="20"/>
          <w:szCs w:val="20"/>
        </w:rPr>
        <w:t>Dermatol</w:t>
      </w:r>
      <w:proofErr w:type="spellEnd"/>
      <w:r w:rsidRPr="003C1102">
        <w:rPr>
          <w:rStyle w:val="docsum-journal-citation"/>
          <w:rFonts w:ascii="Arial" w:hAnsi="Arial" w:cs="Arial"/>
          <w:i/>
          <w:iCs/>
          <w:sz w:val="20"/>
          <w:szCs w:val="20"/>
        </w:rPr>
        <w:t xml:space="preserve"> </w:t>
      </w:r>
      <w:proofErr w:type="spellStart"/>
      <w:r w:rsidRPr="003C1102">
        <w:rPr>
          <w:rStyle w:val="docsum-journal-citation"/>
          <w:rFonts w:ascii="Arial" w:hAnsi="Arial" w:cs="Arial"/>
          <w:i/>
          <w:iCs/>
          <w:sz w:val="20"/>
          <w:szCs w:val="20"/>
        </w:rPr>
        <w:t>Ther</w:t>
      </w:r>
      <w:proofErr w:type="spellEnd"/>
      <w:r w:rsidRPr="003C1102">
        <w:rPr>
          <w:rStyle w:val="docsum-journal-citation"/>
          <w:rFonts w:ascii="Arial" w:hAnsi="Arial" w:cs="Arial"/>
          <w:i/>
          <w:iCs/>
          <w:sz w:val="20"/>
          <w:szCs w:val="20"/>
        </w:rPr>
        <w:t xml:space="preserve"> (</w:t>
      </w:r>
      <w:proofErr w:type="spellStart"/>
      <w:r w:rsidRPr="003C1102">
        <w:rPr>
          <w:rStyle w:val="docsum-journal-citation"/>
          <w:rFonts w:ascii="Arial" w:hAnsi="Arial" w:cs="Arial"/>
          <w:i/>
          <w:iCs/>
          <w:sz w:val="20"/>
          <w:szCs w:val="20"/>
        </w:rPr>
        <w:t>Heidelb</w:t>
      </w:r>
      <w:proofErr w:type="spellEnd"/>
      <w:r w:rsidRPr="003C1102">
        <w:rPr>
          <w:rStyle w:val="docsum-journal-citation"/>
          <w:rFonts w:ascii="Arial" w:hAnsi="Arial" w:cs="Arial"/>
          <w:i/>
          <w:iCs/>
          <w:sz w:val="20"/>
          <w:szCs w:val="20"/>
        </w:rPr>
        <w:t xml:space="preserve">). </w:t>
      </w:r>
      <w:r w:rsidRPr="003C1102">
        <w:rPr>
          <w:rStyle w:val="docsum-journal-citation"/>
          <w:rFonts w:ascii="Arial" w:hAnsi="Arial" w:cs="Arial"/>
          <w:b/>
          <w:bCs/>
          <w:sz w:val="20"/>
          <w:szCs w:val="20"/>
        </w:rPr>
        <w:t>2021</w:t>
      </w:r>
      <w:r w:rsidR="003C1102" w:rsidRPr="003C1102">
        <w:rPr>
          <w:rStyle w:val="docsum-journal-citation"/>
          <w:rFonts w:ascii="Arial" w:hAnsi="Arial" w:cs="Arial"/>
          <w:sz w:val="20"/>
          <w:szCs w:val="20"/>
        </w:rPr>
        <w:t>,</w:t>
      </w:r>
      <w:r w:rsidRPr="003C1102">
        <w:rPr>
          <w:rStyle w:val="docsum-journal-citation"/>
          <w:rFonts w:ascii="Arial" w:hAnsi="Arial" w:cs="Arial"/>
          <w:i/>
          <w:iCs/>
          <w:sz w:val="20"/>
          <w:szCs w:val="20"/>
        </w:rPr>
        <w:t>11</w:t>
      </w:r>
      <w:r w:rsidR="003C1102">
        <w:rPr>
          <w:rStyle w:val="docsum-journal-citation"/>
          <w:rFonts w:ascii="Arial" w:hAnsi="Arial" w:cs="Arial"/>
          <w:sz w:val="20"/>
          <w:szCs w:val="20"/>
        </w:rPr>
        <w:t xml:space="preserve">, </w:t>
      </w:r>
      <w:r w:rsidRPr="003C1102">
        <w:rPr>
          <w:rStyle w:val="docsum-journal-citation"/>
          <w:rFonts w:ascii="Arial" w:hAnsi="Arial" w:cs="Arial"/>
          <w:sz w:val="20"/>
          <w:szCs w:val="20"/>
        </w:rPr>
        <w:t>221-233</w:t>
      </w:r>
    </w:p>
    <w:p w14:paraId="1ABFE2D4" w14:textId="4E6D9B09" w:rsidR="00D253E1" w:rsidRPr="003C1102" w:rsidRDefault="00D253E1" w:rsidP="001856CC">
      <w:pPr>
        <w:ind w:left="720" w:right="1320"/>
        <w:jc w:val="both"/>
        <w:rPr>
          <w:rStyle w:val="docsum-journal-citation"/>
          <w:rFonts w:ascii="Arial" w:hAnsi="Arial" w:cs="Arial"/>
          <w:sz w:val="20"/>
          <w:szCs w:val="20"/>
        </w:rPr>
      </w:pPr>
    </w:p>
    <w:p w14:paraId="5DE17D16" w14:textId="1BE5F2FB" w:rsidR="00D253E1" w:rsidRPr="003C5E36" w:rsidRDefault="00302586" w:rsidP="001856CC">
      <w:pPr>
        <w:pStyle w:val="ListParagraph"/>
        <w:numPr>
          <w:ilvl w:val="0"/>
          <w:numId w:val="5"/>
        </w:numPr>
        <w:spacing w:after="240"/>
        <w:ind w:left="720" w:right="1320" w:firstLine="0"/>
        <w:jc w:val="both"/>
        <w:rPr>
          <w:rFonts w:ascii="Arial" w:hAnsi="Arial" w:cs="Arial"/>
          <w:sz w:val="20"/>
          <w:szCs w:val="20"/>
        </w:rPr>
      </w:pPr>
      <w:r w:rsidRPr="003C1102">
        <w:rPr>
          <w:rFonts w:ascii="Arial" w:hAnsi="Arial" w:cs="Arial"/>
          <w:sz w:val="20"/>
          <w:szCs w:val="20"/>
          <w:shd w:val="clear" w:color="auto" w:fill="FFFFFF"/>
        </w:rPr>
        <w:t xml:space="preserve">Identification of N-{cis-3-[Methyl(7H-pyrrolo[2,3-d]pyrimidin-4-yl)amino]cyclobutyl}propane-1-sulfonamide (PF-04965842): A Selective JAK1 Clinical Candidate for the Treatment of Autoimmune Diseases. </w:t>
      </w:r>
      <w:r w:rsidR="00D253E1" w:rsidRPr="003C1102">
        <w:rPr>
          <w:rFonts w:ascii="Arial" w:hAnsi="Arial" w:cs="Arial"/>
          <w:sz w:val="20"/>
          <w:szCs w:val="20"/>
          <w:shd w:val="clear" w:color="auto" w:fill="FFFFFF"/>
        </w:rPr>
        <w:t xml:space="preserve">Vazquez ML, Kaila N, Strohbach JW, </w:t>
      </w:r>
      <w:proofErr w:type="spellStart"/>
      <w:r w:rsidR="00D253E1" w:rsidRPr="003C1102">
        <w:rPr>
          <w:rFonts w:ascii="Arial" w:hAnsi="Arial" w:cs="Arial"/>
          <w:sz w:val="20"/>
          <w:szCs w:val="20"/>
          <w:shd w:val="clear" w:color="auto" w:fill="FFFFFF"/>
        </w:rPr>
        <w:t>Trzupek</w:t>
      </w:r>
      <w:proofErr w:type="spellEnd"/>
      <w:r w:rsidR="00D253E1" w:rsidRPr="003C1102">
        <w:rPr>
          <w:rFonts w:ascii="Arial" w:hAnsi="Arial" w:cs="Arial"/>
          <w:sz w:val="20"/>
          <w:szCs w:val="20"/>
          <w:shd w:val="clear" w:color="auto" w:fill="FFFFFF"/>
        </w:rPr>
        <w:t xml:space="preserve"> JD, Brown MF, Flanagan ME, Mitton-Fry MJ, Johnson TA, </w:t>
      </w:r>
      <w:proofErr w:type="spellStart"/>
      <w:r w:rsidR="00D253E1" w:rsidRPr="003C1102">
        <w:rPr>
          <w:rFonts w:ascii="Arial" w:hAnsi="Arial" w:cs="Arial"/>
          <w:sz w:val="20"/>
          <w:szCs w:val="20"/>
          <w:shd w:val="clear" w:color="auto" w:fill="FFFFFF"/>
        </w:rPr>
        <w:t>TenBrink</w:t>
      </w:r>
      <w:proofErr w:type="spellEnd"/>
      <w:r w:rsidR="00D253E1" w:rsidRPr="003C1102">
        <w:rPr>
          <w:rFonts w:ascii="Arial" w:hAnsi="Arial" w:cs="Arial"/>
          <w:sz w:val="20"/>
          <w:szCs w:val="20"/>
          <w:shd w:val="clear" w:color="auto" w:fill="FFFFFF"/>
        </w:rPr>
        <w:t xml:space="preserve"> RE, Arnold EP, </w:t>
      </w:r>
      <w:proofErr w:type="spellStart"/>
      <w:r w:rsidR="00D253E1" w:rsidRPr="003C1102">
        <w:rPr>
          <w:rFonts w:ascii="Arial" w:hAnsi="Arial" w:cs="Arial"/>
          <w:sz w:val="20"/>
          <w:szCs w:val="20"/>
          <w:shd w:val="clear" w:color="auto" w:fill="FFFFFF"/>
        </w:rPr>
        <w:t>Basak</w:t>
      </w:r>
      <w:proofErr w:type="spellEnd"/>
      <w:r w:rsidR="00D253E1" w:rsidRPr="003C1102">
        <w:rPr>
          <w:rFonts w:ascii="Arial" w:hAnsi="Arial" w:cs="Arial"/>
          <w:sz w:val="20"/>
          <w:szCs w:val="20"/>
          <w:shd w:val="clear" w:color="auto" w:fill="FFFFFF"/>
        </w:rPr>
        <w:t xml:space="preserve"> A, </w:t>
      </w:r>
      <w:proofErr w:type="spellStart"/>
      <w:r w:rsidR="00D253E1" w:rsidRPr="003C1102">
        <w:rPr>
          <w:rFonts w:ascii="Arial" w:hAnsi="Arial" w:cs="Arial"/>
          <w:sz w:val="20"/>
          <w:szCs w:val="20"/>
          <w:shd w:val="clear" w:color="auto" w:fill="FFFFFF"/>
        </w:rPr>
        <w:t>Heasley</w:t>
      </w:r>
      <w:proofErr w:type="spellEnd"/>
      <w:r w:rsidR="00D253E1" w:rsidRPr="003C1102">
        <w:rPr>
          <w:rFonts w:ascii="Arial" w:hAnsi="Arial" w:cs="Arial"/>
          <w:sz w:val="20"/>
          <w:szCs w:val="20"/>
          <w:shd w:val="clear" w:color="auto" w:fill="FFFFFF"/>
        </w:rPr>
        <w:t xml:space="preserve"> SE, Kwon S, </w:t>
      </w:r>
      <w:proofErr w:type="spellStart"/>
      <w:r w:rsidR="00D253E1" w:rsidRPr="003C1102">
        <w:rPr>
          <w:rFonts w:ascii="Arial" w:hAnsi="Arial" w:cs="Arial"/>
          <w:sz w:val="20"/>
          <w:szCs w:val="20"/>
          <w:shd w:val="clear" w:color="auto" w:fill="FFFFFF"/>
        </w:rPr>
        <w:t>Langille</w:t>
      </w:r>
      <w:proofErr w:type="spellEnd"/>
      <w:r w:rsidR="00D253E1" w:rsidRPr="003C1102">
        <w:rPr>
          <w:rFonts w:ascii="Arial" w:hAnsi="Arial" w:cs="Arial"/>
          <w:sz w:val="20"/>
          <w:szCs w:val="20"/>
          <w:shd w:val="clear" w:color="auto" w:fill="FFFFFF"/>
        </w:rPr>
        <w:t xml:space="preserve"> J, Parikh MD, Griffin SH, </w:t>
      </w:r>
      <w:proofErr w:type="spellStart"/>
      <w:r w:rsidR="00D253E1" w:rsidRPr="003C1102">
        <w:rPr>
          <w:rFonts w:ascii="Arial" w:hAnsi="Arial" w:cs="Arial"/>
          <w:sz w:val="20"/>
          <w:szCs w:val="20"/>
          <w:shd w:val="clear" w:color="auto" w:fill="FFFFFF"/>
        </w:rPr>
        <w:t>Casavant</w:t>
      </w:r>
      <w:proofErr w:type="spellEnd"/>
      <w:r w:rsidR="00D253E1" w:rsidRPr="003C1102">
        <w:rPr>
          <w:rFonts w:ascii="Arial" w:hAnsi="Arial" w:cs="Arial"/>
          <w:sz w:val="20"/>
          <w:szCs w:val="20"/>
          <w:shd w:val="clear" w:color="auto" w:fill="FFFFFF"/>
        </w:rPr>
        <w:t xml:space="preserve"> JM, Duclos BA, Fenwick AE, Harris TM, Han S, Caspers N, Dowty ME, Yang X, Banker ME, </w:t>
      </w:r>
      <w:proofErr w:type="spellStart"/>
      <w:r w:rsidR="00D253E1" w:rsidRPr="003C1102">
        <w:rPr>
          <w:rFonts w:ascii="Arial" w:hAnsi="Arial" w:cs="Arial"/>
          <w:sz w:val="20"/>
          <w:szCs w:val="20"/>
          <w:shd w:val="clear" w:color="auto" w:fill="FFFFFF"/>
        </w:rPr>
        <w:t>Hegen</w:t>
      </w:r>
      <w:proofErr w:type="spellEnd"/>
      <w:r w:rsidR="00D253E1" w:rsidRPr="003C1102">
        <w:rPr>
          <w:rFonts w:ascii="Arial" w:hAnsi="Arial" w:cs="Arial"/>
          <w:sz w:val="20"/>
          <w:szCs w:val="20"/>
          <w:shd w:val="clear" w:color="auto" w:fill="FFFFFF"/>
        </w:rPr>
        <w:t xml:space="preserve"> M, </w:t>
      </w:r>
      <w:proofErr w:type="spellStart"/>
      <w:r w:rsidR="00D253E1" w:rsidRPr="003C1102">
        <w:rPr>
          <w:rFonts w:ascii="Arial" w:hAnsi="Arial" w:cs="Arial"/>
          <w:sz w:val="20"/>
          <w:szCs w:val="20"/>
          <w:shd w:val="clear" w:color="auto" w:fill="FFFFFF"/>
        </w:rPr>
        <w:t>Symanowicz</w:t>
      </w:r>
      <w:proofErr w:type="spellEnd"/>
      <w:r w:rsidR="00D253E1" w:rsidRPr="003C1102">
        <w:rPr>
          <w:rFonts w:ascii="Arial" w:hAnsi="Arial" w:cs="Arial"/>
          <w:sz w:val="20"/>
          <w:szCs w:val="20"/>
          <w:shd w:val="clear" w:color="auto" w:fill="FFFFFF"/>
        </w:rPr>
        <w:t xml:space="preserve"> PT, Li L, Wang L, Lin TH, Jussif J, Clark JD, Telliez JB, Robinson RP, Unwalla R. </w:t>
      </w:r>
      <w:r w:rsidR="00D253E1" w:rsidRPr="003C5E36">
        <w:rPr>
          <w:rFonts w:ascii="Arial" w:hAnsi="Arial" w:cs="Arial"/>
          <w:i/>
          <w:iCs/>
          <w:sz w:val="20"/>
          <w:szCs w:val="20"/>
          <w:shd w:val="clear" w:color="auto" w:fill="FFFFFF"/>
        </w:rPr>
        <w:t>J Med Chem.</w:t>
      </w:r>
      <w:r w:rsidR="00D253E1" w:rsidRPr="003C5E36">
        <w:rPr>
          <w:rFonts w:ascii="Arial" w:hAnsi="Arial" w:cs="Arial"/>
          <w:sz w:val="20"/>
          <w:szCs w:val="20"/>
          <w:shd w:val="clear" w:color="auto" w:fill="FFFFFF"/>
        </w:rPr>
        <w:t xml:space="preserve"> </w:t>
      </w:r>
      <w:r w:rsidR="00D253E1" w:rsidRPr="003C5E36">
        <w:rPr>
          <w:rFonts w:ascii="Arial" w:hAnsi="Arial" w:cs="Arial"/>
          <w:b/>
          <w:bCs/>
          <w:sz w:val="20"/>
          <w:szCs w:val="20"/>
          <w:shd w:val="clear" w:color="auto" w:fill="FFFFFF"/>
        </w:rPr>
        <w:t>2018</w:t>
      </w:r>
      <w:r w:rsidRPr="003C5E36">
        <w:rPr>
          <w:rFonts w:ascii="Arial" w:hAnsi="Arial" w:cs="Arial"/>
          <w:b/>
          <w:bCs/>
          <w:sz w:val="20"/>
          <w:szCs w:val="20"/>
          <w:shd w:val="clear" w:color="auto" w:fill="FFFFFF"/>
        </w:rPr>
        <w:t>,</w:t>
      </w:r>
      <w:r w:rsidR="00D253E1" w:rsidRPr="003C5E36">
        <w:rPr>
          <w:rFonts w:ascii="Arial" w:hAnsi="Arial" w:cs="Arial"/>
          <w:sz w:val="20"/>
          <w:szCs w:val="20"/>
          <w:shd w:val="clear" w:color="auto" w:fill="FFFFFF"/>
        </w:rPr>
        <w:t xml:space="preserve"> </w:t>
      </w:r>
      <w:r w:rsidRPr="003C5E36">
        <w:rPr>
          <w:rFonts w:ascii="Arial" w:hAnsi="Arial" w:cs="Arial"/>
          <w:i/>
          <w:iCs/>
          <w:sz w:val="20"/>
          <w:szCs w:val="20"/>
          <w:shd w:val="clear" w:color="auto" w:fill="FFFFFF"/>
        </w:rPr>
        <w:t>6</w:t>
      </w:r>
      <w:r w:rsidR="00D253E1" w:rsidRPr="003C5E36">
        <w:rPr>
          <w:rFonts w:ascii="Arial" w:hAnsi="Arial" w:cs="Arial"/>
          <w:i/>
          <w:iCs/>
          <w:sz w:val="20"/>
          <w:szCs w:val="20"/>
          <w:shd w:val="clear" w:color="auto" w:fill="FFFFFF"/>
        </w:rPr>
        <w:t>1</w:t>
      </w:r>
      <w:r w:rsidRPr="003C5E36">
        <w:rPr>
          <w:rFonts w:ascii="Arial" w:hAnsi="Arial" w:cs="Arial"/>
          <w:i/>
          <w:iCs/>
          <w:sz w:val="20"/>
          <w:szCs w:val="20"/>
          <w:shd w:val="clear" w:color="auto" w:fill="FFFFFF"/>
        </w:rPr>
        <w:t xml:space="preserve">, </w:t>
      </w:r>
      <w:r w:rsidR="00D253E1" w:rsidRPr="003C5E36">
        <w:rPr>
          <w:rFonts w:ascii="Arial" w:hAnsi="Arial" w:cs="Arial"/>
          <w:sz w:val="20"/>
          <w:szCs w:val="20"/>
          <w:shd w:val="clear" w:color="auto" w:fill="FFFFFF"/>
        </w:rPr>
        <w:t xml:space="preserve">1130-1152. </w:t>
      </w:r>
      <w:proofErr w:type="spellStart"/>
      <w:r w:rsidR="00D253E1" w:rsidRPr="003C5E36">
        <w:rPr>
          <w:rFonts w:ascii="Arial" w:hAnsi="Arial" w:cs="Arial"/>
          <w:sz w:val="20"/>
          <w:szCs w:val="20"/>
          <w:shd w:val="clear" w:color="auto" w:fill="FFFFFF"/>
        </w:rPr>
        <w:t>doi</w:t>
      </w:r>
      <w:proofErr w:type="spellEnd"/>
      <w:r w:rsidR="00D253E1" w:rsidRPr="003C5E36">
        <w:rPr>
          <w:rFonts w:ascii="Arial" w:hAnsi="Arial" w:cs="Arial"/>
          <w:sz w:val="20"/>
          <w:szCs w:val="20"/>
          <w:shd w:val="clear" w:color="auto" w:fill="FFFFFF"/>
        </w:rPr>
        <w:t xml:space="preserve">: 10.1021/acs.jmedchem.7b01598. </w:t>
      </w:r>
    </w:p>
    <w:p w14:paraId="0A590329" w14:textId="27A92790" w:rsidR="00220E0B" w:rsidRPr="003C5E36" w:rsidRDefault="001856CC" w:rsidP="001856CC">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lastRenderedPageBreak/>
        <w:t xml:space="preserve">Impact of oral abrocitinib on signs, symptoms and quality of life among adolescents with moderate-to-severe atopic dermatitis: an analysis of patient-reported outcomes. Cork MJ, McMichael A, Teng J, Valdez H, Rojo R, Chan G, Zhang F, Myers DE, DiBonaventura M. </w:t>
      </w:r>
      <w:r w:rsidRPr="003C5E36">
        <w:rPr>
          <w:rFonts w:ascii="Arial" w:hAnsi="Arial" w:cs="Arial"/>
          <w:i/>
          <w:iCs/>
          <w:color w:val="212121"/>
          <w:sz w:val="20"/>
          <w:szCs w:val="20"/>
          <w:shd w:val="clear" w:color="auto" w:fill="FFFFFF"/>
        </w:rPr>
        <w:t xml:space="preserve">J Eur </w:t>
      </w:r>
      <w:proofErr w:type="spellStart"/>
      <w:r w:rsidRPr="003C5E36">
        <w:rPr>
          <w:rFonts w:ascii="Arial" w:hAnsi="Arial" w:cs="Arial"/>
          <w:i/>
          <w:iCs/>
          <w:color w:val="212121"/>
          <w:sz w:val="20"/>
          <w:szCs w:val="20"/>
          <w:shd w:val="clear" w:color="auto" w:fill="FFFFFF"/>
        </w:rPr>
        <w:t>Acad</w:t>
      </w:r>
      <w:proofErr w:type="spellEnd"/>
      <w:r w:rsidRPr="003C5E36">
        <w:rPr>
          <w:rFonts w:ascii="Arial" w:hAnsi="Arial" w:cs="Arial"/>
          <w:i/>
          <w:iCs/>
          <w:color w:val="212121"/>
          <w:sz w:val="20"/>
          <w:szCs w:val="20"/>
          <w:shd w:val="clear" w:color="auto" w:fill="FFFFFF"/>
        </w:rPr>
        <w:t xml:space="preserve"> Dermatol </w:t>
      </w:r>
      <w:proofErr w:type="spellStart"/>
      <w:r w:rsidRPr="003C5E36">
        <w:rPr>
          <w:rFonts w:ascii="Arial" w:hAnsi="Arial" w:cs="Arial"/>
          <w:i/>
          <w:iCs/>
          <w:color w:val="212121"/>
          <w:sz w:val="20"/>
          <w:szCs w:val="20"/>
          <w:shd w:val="clear" w:color="auto" w:fill="FFFFFF"/>
        </w:rPr>
        <w:t>Venereol</w:t>
      </w:r>
      <w:proofErr w:type="spellEnd"/>
      <w:r w:rsidRPr="003C5E36">
        <w:rPr>
          <w:rFonts w:ascii="Arial" w:hAnsi="Arial" w:cs="Arial"/>
          <w:i/>
          <w:iCs/>
          <w:color w:val="212121"/>
          <w:sz w:val="20"/>
          <w:szCs w:val="20"/>
          <w:shd w:val="clear" w:color="auto" w:fill="FFFFFF"/>
        </w:rPr>
        <w:t>.</w:t>
      </w:r>
      <w:r w:rsidRPr="003C5E36">
        <w:rPr>
          <w:rFonts w:ascii="Arial" w:hAnsi="Arial" w:cs="Arial"/>
          <w:color w:val="212121"/>
          <w:sz w:val="20"/>
          <w:szCs w:val="20"/>
          <w:shd w:val="clear" w:color="auto" w:fill="FFFFFF"/>
        </w:rPr>
        <w:t xml:space="preserve"> 2022,</w:t>
      </w:r>
      <w:r w:rsidRPr="003C5E36">
        <w:rPr>
          <w:rFonts w:ascii="Arial" w:hAnsi="Arial" w:cs="Arial"/>
          <w:i/>
          <w:iCs/>
          <w:color w:val="212121"/>
          <w:sz w:val="20"/>
          <w:szCs w:val="20"/>
          <w:shd w:val="clear" w:color="auto" w:fill="FFFFFF"/>
        </w:rPr>
        <w:t>36</w:t>
      </w:r>
      <w:r w:rsidRPr="003C5E36">
        <w:rPr>
          <w:rFonts w:ascii="Arial" w:hAnsi="Arial" w:cs="Arial"/>
          <w:color w:val="212121"/>
          <w:sz w:val="20"/>
          <w:szCs w:val="20"/>
          <w:shd w:val="clear" w:color="auto" w:fill="FFFFFF"/>
        </w:rPr>
        <w:t xml:space="preserve">,422.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xml:space="preserve">: 10.1111/jdv.17792. </w:t>
      </w:r>
    </w:p>
    <w:p w14:paraId="1F5F7796" w14:textId="011DDBF2" w:rsidR="003F7469" w:rsidRPr="003C5E36" w:rsidRDefault="003F7469" w:rsidP="001856CC">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Patient-reported outcomes from the JADE COMPARE randomized phase 3 study of abrocitinib in adults with moderate-to-severe atopic dermatitis.  Thyssen JP, Yosipovitch G, Paul C, Kwatra SG, Chu CY, DiBonaventura M, Feeney C, Zhang F, Myers D, Rojo R, Valdez H. </w:t>
      </w:r>
      <w:r w:rsidRPr="003C5E36">
        <w:rPr>
          <w:rFonts w:ascii="Arial" w:hAnsi="Arial" w:cs="Arial"/>
          <w:b/>
          <w:bCs/>
          <w:color w:val="212121"/>
          <w:sz w:val="20"/>
          <w:szCs w:val="20"/>
          <w:shd w:val="clear" w:color="auto" w:fill="FFFFFF"/>
        </w:rPr>
        <w:t xml:space="preserve">J Eur </w:t>
      </w:r>
      <w:proofErr w:type="spellStart"/>
      <w:r w:rsidRPr="003C5E36">
        <w:rPr>
          <w:rFonts w:ascii="Arial" w:hAnsi="Arial" w:cs="Arial"/>
          <w:b/>
          <w:bCs/>
          <w:color w:val="212121"/>
          <w:sz w:val="20"/>
          <w:szCs w:val="20"/>
          <w:shd w:val="clear" w:color="auto" w:fill="FFFFFF"/>
        </w:rPr>
        <w:t>Acad</w:t>
      </w:r>
      <w:proofErr w:type="spellEnd"/>
      <w:r w:rsidRPr="003C5E36">
        <w:rPr>
          <w:rFonts w:ascii="Arial" w:hAnsi="Arial" w:cs="Arial"/>
          <w:b/>
          <w:bCs/>
          <w:color w:val="212121"/>
          <w:sz w:val="20"/>
          <w:szCs w:val="20"/>
          <w:shd w:val="clear" w:color="auto" w:fill="FFFFFF"/>
        </w:rPr>
        <w:t xml:space="preserve"> Dermatol </w:t>
      </w:r>
      <w:proofErr w:type="spellStart"/>
      <w:r w:rsidRPr="003C5E36">
        <w:rPr>
          <w:rFonts w:ascii="Arial" w:hAnsi="Arial" w:cs="Arial"/>
          <w:b/>
          <w:bCs/>
          <w:color w:val="212121"/>
          <w:sz w:val="20"/>
          <w:szCs w:val="20"/>
          <w:shd w:val="clear" w:color="auto" w:fill="FFFFFF"/>
        </w:rPr>
        <w:t>Venereol</w:t>
      </w:r>
      <w:proofErr w:type="spellEnd"/>
      <w:r w:rsidRPr="003C5E36">
        <w:rPr>
          <w:rFonts w:ascii="Arial" w:hAnsi="Arial" w:cs="Arial"/>
          <w:b/>
          <w:bCs/>
          <w:color w:val="212121"/>
          <w:sz w:val="20"/>
          <w:szCs w:val="20"/>
          <w:shd w:val="clear" w:color="auto" w:fill="FFFFFF"/>
        </w:rPr>
        <w:t>.</w:t>
      </w:r>
      <w:r w:rsidRPr="003C5E36">
        <w:rPr>
          <w:rFonts w:ascii="Arial" w:hAnsi="Arial" w:cs="Arial"/>
          <w:color w:val="212121"/>
          <w:sz w:val="20"/>
          <w:szCs w:val="20"/>
          <w:shd w:val="clear" w:color="auto" w:fill="FFFFFF"/>
        </w:rPr>
        <w:t xml:space="preserve"> </w:t>
      </w:r>
      <w:r w:rsidRPr="003C5E36">
        <w:rPr>
          <w:rFonts w:ascii="Arial" w:hAnsi="Arial" w:cs="Arial"/>
          <w:i/>
          <w:iCs/>
          <w:color w:val="212121"/>
          <w:sz w:val="20"/>
          <w:szCs w:val="20"/>
          <w:shd w:val="clear" w:color="auto" w:fill="FFFFFF"/>
        </w:rPr>
        <w:t>2022</w:t>
      </w:r>
      <w:r w:rsidRPr="003C5E36">
        <w:rPr>
          <w:rFonts w:ascii="Arial" w:hAnsi="Arial" w:cs="Arial"/>
          <w:color w:val="212121"/>
          <w:sz w:val="20"/>
          <w:szCs w:val="20"/>
          <w:shd w:val="clear" w:color="auto" w:fill="FFFFFF"/>
        </w:rPr>
        <w:t xml:space="preserve">, </w:t>
      </w:r>
      <w:r w:rsidRPr="003C5E36">
        <w:rPr>
          <w:rFonts w:ascii="Arial" w:hAnsi="Arial" w:cs="Arial"/>
          <w:b/>
          <w:bCs/>
          <w:color w:val="212121"/>
          <w:sz w:val="20"/>
          <w:szCs w:val="20"/>
          <w:shd w:val="clear" w:color="auto" w:fill="FFFFFF"/>
        </w:rPr>
        <w:t>36</w:t>
      </w:r>
      <w:r w:rsidRPr="003C5E36">
        <w:rPr>
          <w:rFonts w:ascii="Arial" w:hAnsi="Arial" w:cs="Arial"/>
          <w:color w:val="212121"/>
          <w:sz w:val="20"/>
          <w:szCs w:val="20"/>
          <w:shd w:val="clear" w:color="auto" w:fill="FFFFFF"/>
        </w:rPr>
        <w:t xml:space="preserve">, 434.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xml:space="preserve">: 10.1111/jdv.17813. </w:t>
      </w:r>
    </w:p>
    <w:p w14:paraId="718B8929" w14:textId="3B35351E" w:rsidR="00C331DC" w:rsidRPr="003C5E36" w:rsidRDefault="00C331DC" w:rsidP="001856CC">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Efficacy and safety of abrocitinib in adults and adolescents with moderate-to-severe atopic dermatitis (JADE MONO-1): a </w:t>
      </w:r>
      <w:proofErr w:type="spellStart"/>
      <w:r w:rsidRPr="003C5E36">
        <w:rPr>
          <w:rFonts w:ascii="Arial" w:hAnsi="Arial" w:cs="Arial"/>
          <w:color w:val="212121"/>
          <w:sz w:val="20"/>
          <w:szCs w:val="20"/>
          <w:shd w:val="clear" w:color="auto" w:fill="FFFFFF"/>
        </w:rPr>
        <w:t>multicentre</w:t>
      </w:r>
      <w:proofErr w:type="spellEnd"/>
      <w:r w:rsidRPr="003C5E36">
        <w:rPr>
          <w:rFonts w:ascii="Arial" w:hAnsi="Arial" w:cs="Arial"/>
          <w:color w:val="212121"/>
          <w:sz w:val="20"/>
          <w:szCs w:val="20"/>
          <w:shd w:val="clear" w:color="auto" w:fill="FFFFFF"/>
        </w:rPr>
        <w:t xml:space="preserve">, double-blind, </w:t>
      </w:r>
      <w:proofErr w:type="spellStart"/>
      <w:r w:rsidRPr="003C5E36">
        <w:rPr>
          <w:rFonts w:ascii="Arial" w:hAnsi="Arial" w:cs="Arial"/>
          <w:color w:val="212121"/>
          <w:sz w:val="20"/>
          <w:szCs w:val="20"/>
          <w:shd w:val="clear" w:color="auto" w:fill="FFFFFF"/>
        </w:rPr>
        <w:t>randomised</w:t>
      </w:r>
      <w:proofErr w:type="spellEnd"/>
      <w:r w:rsidRPr="003C5E36">
        <w:rPr>
          <w:rFonts w:ascii="Arial" w:hAnsi="Arial" w:cs="Arial"/>
          <w:color w:val="212121"/>
          <w:sz w:val="20"/>
          <w:szCs w:val="20"/>
          <w:shd w:val="clear" w:color="auto" w:fill="FFFFFF"/>
        </w:rPr>
        <w:t xml:space="preserve">, placebo-controlled, phase 3 trial.  Simpson EL, Sinclair R, Forman S, </w:t>
      </w:r>
      <w:proofErr w:type="spellStart"/>
      <w:r w:rsidRPr="003C5E36">
        <w:rPr>
          <w:rFonts w:ascii="Arial" w:hAnsi="Arial" w:cs="Arial"/>
          <w:color w:val="212121"/>
          <w:sz w:val="20"/>
          <w:szCs w:val="20"/>
          <w:shd w:val="clear" w:color="auto" w:fill="FFFFFF"/>
        </w:rPr>
        <w:t>Wollenberg</w:t>
      </w:r>
      <w:proofErr w:type="spellEnd"/>
      <w:r w:rsidRPr="003C5E36">
        <w:rPr>
          <w:rFonts w:ascii="Arial" w:hAnsi="Arial" w:cs="Arial"/>
          <w:color w:val="212121"/>
          <w:sz w:val="20"/>
          <w:szCs w:val="20"/>
          <w:shd w:val="clear" w:color="auto" w:fill="FFFFFF"/>
        </w:rPr>
        <w:t xml:space="preserve"> A, </w:t>
      </w:r>
      <w:proofErr w:type="spellStart"/>
      <w:r w:rsidRPr="003C5E36">
        <w:rPr>
          <w:rFonts w:ascii="Arial" w:hAnsi="Arial" w:cs="Arial"/>
          <w:color w:val="212121"/>
          <w:sz w:val="20"/>
          <w:szCs w:val="20"/>
          <w:shd w:val="clear" w:color="auto" w:fill="FFFFFF"/>
        </w:rPr>
        <w:t>Aschoff</w:t>
      </w:r>
      <w:proofErr w:type="spellEnd"/>
      <w:r w:rsidRPr="003C5E36">
        <w:rPr>
          <w:rFonts w:ascii="Arial" w:hAnsi="Arial" w:cs="Arial"/>
          <w:color w:val="212121"/>
          <w:sz w:val="20"/>
          <w:szCs w:val="20"/>
          <w:shd w:val="clear" w:color="auto" w:fill="FFFFFF"/>
        </w:rPr>
        <w:t xml:space="preserve"> R, Cork M, Bieber T, Thyssen JP, Yosipovitch G, </w:t>
      </w:r>
      <w:proofErr w:type="spellStart"/>
      <w:r w:rsidRPr="003C5E36">
        <w:rPr>
          <w:rFonts w:ascii="Arial" w:hAnsi="Arial" w:cs="Arial"/>
          <w:color w:val="212121"/>
          <w:sz w:val="20"/>
          <w:szCs w:val="20"/>
          <w:shd w:val="clear" w:color="auto" w:fill="FFFFFF"/>
        </w:rPr>
        <w:t>Flohr</w:t>
      </w:r>
      <w:proofErr w:type="spellEnd"/>
      <w:r w:rsidRPr="003C5E36">
        <w:rPr>
          <w:rFonts w:ascii="Arial" w:hAnsi="Arial" w:cs="Arial"/>
          <w:color w:val="212121"/>
          <w:sz w:val="20"/>
          <w:szCs w:val="20"/>
          <w:shd w:val="clear" w:color="auto" w:fill="FFFFFF"/>
        </w:rPr>
        <w:t xml:space="preserve"> C, </w:t>
      </w:r>
      <w:proofErr w:type="spellStart"/>
      <w:r w:rsidRPr="003C5E36">
        <w:rPr>
          <w:rFonts w:ascii="Arial" w:hAnsi="Arial" w:cs="Arial"/>
          <w:color w:val="212121"/>
          <w:sz w:val="20"/>
          <w:szCs w:val="20"/>
          <w:shd w:val="clear" w:color="auto" w:fill="FFFFFF"/>
        </w:rPr>
        <w:t>Magnolo</w:t>
      </w:r>
      <w:proofErr w:type="spellEnd"/>
      <w:r w:rsidRPr="003C5E36">
        <w:rPr>
          <w:rFonts w:ascii="Arial" w:hAnsi="Arial" w:cs="Arial"/>
          <w:color w:val="212121"/>
          <w:sz w:val="20"/>
          <w:szCs w:val="20"/>
          <w:shd w:val="clear" w:color="auto" w:fill="FFFFFF"/>
        </w:rPr>
        <w:t xml:space="preserve"> N, </w:t>
      </w:r>
      <w:proofErr w:type="spellStart"/>
      <w:r w:rsidRPr="003C5E36">
        <w:rPr>
          <w:rFonts w:ascii="Arial" w:hAnsi="Arial" w:cs="Arial"/>
          <w:color w:val="212121"/>
          <w:sz w:val="20"/>
          <w:szCs w:val="20"/>
          <w:shd w:val="clear" w:color="auto" w:fill="FFFFFF"/>
        </w:rPr>
        <w:t>Maari</w:t>
      </w:r>
      <w:proofErr w:type="spellEnd"/>
      <w:r w:rsidRPr="003C5E36">
        <w:rPr>
          <w:rFonts w:ascii="Arial" w:hAnsi="Arial" w:cs="Arial"/>
          <w:color w:val="212121"/>
          <w:sz w:val="20"/>
          <w:szCs w:val="20"/>
          <w:shd w:val="clear" w:color="auto" w:fill="FFFFFF"/>
        </w:rPr>
        <w:t xml:space="preserve"> C, Feeney C, Biswas P, Tatulych S, Valdez H, Rojo R. </w:t>
      </w:r>
      <w:r w:rsidRPr="003C5E36">
        <w:rPr>
          <w:rFonts w:ascii="Arial" w:hAnsi="Arial" w:cs="Arial"/>
          <w:i/>
          <w:iCs/>
          <w:color w:val="212121"/>
          <w:sz w:val="20"/>
          <w:szCs w:val="20"/>
          <w:shd w:val="clear" w:color="auto" w:fill="FFFFFF"/>
        </w:rPr>
        <w:t>Lancet,</w:t>
      </w:r>
      <w:r w:rsidRPr="003C5E36">
        <w:rPr>
          <w:rFonts w:ascii="Arial" w:hAnsi="Arial" w:cs="Arial"/>
          <w:color w:val="212121"/>
          <w:sz w:val="20"/>
          <w:szCs w:val="20"/>
          <w:shd w:val="clear" w:color="auto" w:fill="FFFFFF"/>
        </w:rPr>
        <w:t xml:space="preserve"> </w:t>
      </w:r>
      <w:r w:rsidRPr="003C5E36">
        <w:rPr>
          <w:rFonts w:ascii="Arial" w:hAnsi="Arial" w:cs="Arial"/>
          <w:b/>
          <w:bCs/>
          <w:color w:val="212121"/>
          <w:sz w:val="20"/>
          <w:szCs w:val="20"/>
          <w:shd w:val="clear" w:color="auto" w:fill="FFFFFF"/>
        </w:rPr>
        <w:t>2020</w:t>
      </w:r>
      <w:r w:rsidRPr="003C5E36">
        <w:rPr>
          <w:rFonts w:ascii="Arial" w:hAnsi="Arial" w:cs="Arial"/>
          <w:color w:val="212121"/>
          <w:sz w:val="20"/>
          <w:szCs w:val="20"/>
          <w:shd w:val="clear" w:color="auto" w:fill="FFFFFF"/>
        </w:rPr>
        <w:t xml:space="preserve">, </w:t>
      </w:r>
      <w:r w:rsidRPr="003C5E36">
        <w:rPr>
          <w:rFonts w:ascii="Arial" w:hAnsi="Arial" w:cs="Arial"/>
          <w:i/>
          <w:iCs/>
          <w:color w:val="212121"/>
          <w:sz w:val="20"/>
          <w:szCs w:val="20"/>
          <w:shd w:val="clear" w:color="auto" w:fill="FFFFFF"/>
        </w:rPr>
        <w:t>396</w:t>
      </w:r>
      <w:r w:rsidRPr="003C5E36">
        <w:rPr>
          <w:rFonts w:ascii="Arial" w:hAnsi="Arial" w:cs="Arial"/>
          <w:color w:val="212121"/>
          <w:sz w:val="20"/>
          <w:szCs w:val="20"/>
          <w:shd w:val="clear" w:color="auto" w:fill="FFFFFF"/>
        </w:rPr>
        <w:t xml:space="preserve">,255.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10.1016/S0140-6736(20)30732-7. PMID: 32711801.</w:t>
      </w:r>
    </w:p>
    <w:p w14:paraId="0343A32F" w14:textId="0BA18905" w:rsidR="005A2352" w:rsidRPr="003C5E36" w:rsidRDefault="00DF6E06" w:rsidP="00DF6E06">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Abrocitinib induction, randomized withdrawal, and retreatment in patients with moderate-to-severe atopic dermatitis: Results from the JAK1 Atopic Dermatitis Efficacy and Safety (JADE) REGIMEN phase 3 trial.  Blauvelt A, Silverberg JI, Lynde CW, Bieber T, Eisman S, Zdybski J, Gubelin W, Simpson EL, Valenzuela F, </w:t>
      </w:r>
      <w:proofErr w:type="spellStart"/>
      <w:r w:rsidRPr="003C5E36">
        <w:rPr>
          <w:rFonts w:ascii="Arial" w:hAnsi="Arial" w:cs="Arial"/>
          <w:color w:val="212121"/>
          <w:sz w:val="20"/>
          <w:szCs w:val="20"/>
          <w:shd w:val="clear" w:color="auto" w:fill="FFFFFF"/>
        </w:rPr>
        <w:t>Criado</w:t>
      </w:r>
      <w:proofErr w:type="spellEnd"/>
      <w:r w:rsidRPr="003C5E36">
        <w:rPr>
          <w:rFonts w:ascii="Arial" w:hAnsi="Arial" w:cs="Arial"/>
          <w:color w:val="212121"/>
          <w:sz w:val="20"/>
          <w:szCs w:val="20"/>
          <w:shd w:val="clear" w:color="auto" w:fill="FFFFFF"/>
        </w:rPr>
        <w:t xml:space="preserve"> PR, </w:t>
      </w:r>
      <w:proofErr w:type="spellStart"/>
      <w:r w:rsidRPr="003C5E36">
        <w:rPr>
          <w:rFonts w:ascii="Arial" w:hAnsi="Arial" w:cs="Arial"/>
          <w:color w:val="212121"/>
          <w:sz w:val="20"/>
          <w:szCs w:val="20"/>
          <w:shd w:val="clear" w:color="auto" w:fill="FFFFFF"/>
        </w:rPr>
        <w:t>Lebwohl</w:t>
      </w:r>
      <w:proofErr w:type="spellEnd"/>
      <w:r w:rsidRPr="003C5E36">
        <w:rPr>
          <w:rFonts w:ascii="Arial" w:hAnsi="Arial" w:cs="Arial"/>
          <w:color w:val="212121"/>
          <w:sz w:val="20"/>
          <w:szCs w:val="20"/>
          <w:shd w:val="clear" w:color="auto" w:fill="FFFFFF"/>
        </w:rPr>
        <w:t xml:space="preserve"> MG, Feeney C, Khan T, Biswas P, DiBonaventura M, Valdez H, Cameron MC, Rojo R. </w:t>
      </w:r>
      <w:r w:rsidRPr="003C5E36">
        <w:rPr>
          <w:rFonts w:ascii="Arial" w:hAnsi="Arial" w:cs="Arial"/>
          <w:i/>
          <w:iCs/>
          <w:color w:val="212121"/>
          <w:sz w:val="20"/>
          <w:szCs w:val="20"/>
          <w:shd w:val="clear" w:color="auto" w:fill="FFFFFF"/>
        </w:rPr>
        <w:t xml:space="preserve">J Am </w:t>
      </w:r>
      <w:proofErr w:type="spellStart"/>
      <w:r w:rsidRPr="003C5E36">
        <w:rPr>
          <w:rFonts w:ascii="Arial" w:hAnsi="Arial" w:cs="Arial"/>
          <w:i/>
          <w:iCs/>
          <w:color w:val="212121"/>
          <w:sz w:val="20"/>
          <w:szCs w:val="20"/>
          <w:shd w:val="clear" w:color="auto" w:fill="FFFFFF"/>
        </w:rPr>
        <w:t>Acad</w:t>
      </w:r>
      <w:proofErr w:type="spellEnd"/>
      <w:r w:rsidRPr="003C5E36">
        <w:rPr>
          <w:rFonts w:ascii="Arial" w:hAnsi="Arial" w:cs="Arial"/>
          <w:i/>
          <w:iCs/>
          <w:color w:val="212121"/>
          <w:sz w:val="20"/>
          <w:szCs w:val="20"/>
          <w:shd w:val="clear" w:color="auto" w:fill="FFFFFF"/>
        </w:rPr>
        <w:t xml:space="preserve"> Dermatol</w:t>
      </w:r>
      <w:r w:rsidRPr="003C5E36">
        <w:rPr>
          <w:rFonts w:ascii="Arial" w:hAnsi="Arial" w:cs="Arial"/>
          <w:color w:val="212121"/>
          <w:sz w:val="20"/>
          <w:szCs w:val="20"/>
          <w:shd w:val="clear" w:color="auto" w:fill="FFFFFF"/>
        </w:rPr>
        <w:t xml:space="preserve">. </w:t>
      </w:r>
      <w:r w:rsidRPr="003C5E36">
        <w:rPr>
          <w:rFonts w:ascii="Arial" w:hAnsi="Arial" w:cs="Arial"/>
          <w:b/>
          <w:bCs/>
          <w:color w:val="212121"/>
          <w:sz w:val="20"/>
          <w:szCs w:val="20"/>
          <w:shd w:val="clear" w:color="auto" w:fill="FFFFFF"/>
        </w:rPr>
        <w:t>2022</w:t>
      </w:r>
      <w:r w:rsidRPr="003C5E36">
        <w:rPr>
          <w:rFonts w:ascii="Arial" w:hAnsi="Arial" w:cs="Arial"/>
          <w:color w:val="212121"/>
          <w:sz w:val="20"/>
          <w:szCs w:val="20"/>
          <w:shd w:val="clear" w:color="auto" w:fill="FFFFFF"/>
        </w:rPr>
        <w:t xml:space="preserve">, </w:t>
      </w:r>
      <w:r w:rsidRPr="003C5E36">
        <w:rPr>
          <w:rFonts w:ascii="Arial" w:hAnsi="Arial" w:cs="Arial"/>
          <w:i/>
          <w:iCs/>
          <w:color w:val="212121"/>
          <w:sz w:val="20"/>
          <w:szCs w:val="20"/>
          <w:shd w:val="clear" w:color="auto" w:fill="FFFFFF"/>
        </w:rPr>
        <w:t>86</w:t>
      </w:r>
      <w:r w:rsidRPr="003C5E36">
        <w:rPr>
          <w:rFonts w:ascii="Arial" w:hAnsi="Arial" w:cs="Arial"/>
          <w:color w:val="212121"/>
          <w:sz w:val="20"/>
          <w:szCs w:val="20"/>
          <w:shd w:val="clear" w:color="auto" w:fill="FFFFFF"/>
        </w:rPr>
        <w:t xml:space="preserve">, 104.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xml:space="preserve">: 10.1016/j.jaad.2021.05.075. </w:t>
      </w:r>
    </w:p>
    <w:p w14:paraId="4F124075" w14:textId="3CAC8986" w:rsidR="00A518C9" w:rsidRPr="003C5E36" w:rsidRDefault="005F019E" w:rsidP="00DF6E06">
      <w:pPr>
        <w:pStyle w:val="ListParagraph"/>
        <w:numPr>
          <w:ilvl w:val="0"/>
          <w:numId w:val="5"/>
        </w:numPr>
        <w:spacing w:after="240"/>
        <w:ind w:left="720" w:right="1325" w:firstLine="0"/>
        <w:jc w:val="both"/>
        <w:rPr>
          <w:rFonts w:ascii="Arial" w:hAnsi="Arial" w:cs="Arial"/>
          <w:sz w:val="20"/>
          <w:szCs w:val="20"/>
        </w:rPr>
      </w:pPr>
      <w:r w:rsidRPr="003C5E36">
        <w:rPr>
          <w:rFonts w:ascii="Arial" w:hAnsi="Arial" w:cs="Arial"/>
          <w:color w:val="212121"/>
          <w:sz w:val="20"/>
          <w:szCs w:val="20"/>
          <w:shd w:val="clear" w:color="auto" w:fill="FFFFFF"/>
        </w:rPr>
        <w:t xml:space="preserve">Abrocitinib versus Placebo or Dupilumab for Atopic Dermatitis Bieber T, Simpson EL, Silverberg JI, </w:t>
      </w:r>
      <w:proofErr w:type="spellStart"/>
      <w:r w:rsidRPr="003C5E36">
        <w:rPr>
          <w:rFonts w:ascii="Arial" w:hAnsi="Arial" w:cs="Arial"/>
          <w:color w:val="212121"/>
          <w:sz w:val="20"/>
          <w:szCs w:val="20"/>
          <w:shd w:val="clear" w:color="auto" w:fill="FFFFFF"/>
        </w:rPr>
        <w:t>Thaçi</w:t>
      </w:r>
      <w:proofErr w:type="spellEnd"/>
      <w:r w:rsidRPr="003C5E36">
        <w:rPr>
          <w:rFonts w:ascii="Arial" w:hAnsi="Arial" w:cs="Arial"/>
          <w:color w:val="212121"/>
          <w:sz w:val="20"/>
          <w:szCs w:val="20"/>
          <w:shd w:val="clear" w:color="auto" w:fill="FFFFFF"/>
        </w:rPr>
        <w:t xml:space="preserve"> D, Paul C, Pink AE, Kataoka Y, Chu CY, DiBonaventura M, Rojo R, Antinew J, Ionita I, Sinclair R, Forman S, Zdybski J, Biswas P, Malhotra B, Zhang F, Valdez H; JADE COMPARE Investigators. </w:t>
      </w:r>
      <w:r w:rsidRPr="003C5E36">
        <w:rPr>
          <w:rFonts w:ascii="Arial" w:hAnsi="Arial" w:cs="Arial"/>
          <w:i/>
          <w:iCs/>
          <w:color w:val="212121"/>
          <w:sz w:val="20"/>
          <w:szCs w:val="20"/>
          <w:shd w:val="clear" w:color="auto" w:fill="FFFFFF"/>
        </w:rPr>
        <w:t xml:space="preserve">N </w:t>
      </w:r>
      <w:proofErr w:type="spellStart"/>
      <w:r w:rsidRPr="003C5E36">
        <w:rPr>
          <w:rFonts w:ascii="Arial" w:hAnsi="Arial" w:cs="Arial"/>
          <w:i/>
          <w:iCs/>
          <w:color w:val="212121"/>
          <w:sz w:val="20"/>
          <w:szCs w:val="20"/>
          <w:shd w:val="clear" w:color="auto" w:fill="FFFFFF"/>
        </w:rPr>
        <w:t>Engl</w:t>
      </w:r>
      <w:proofErr w:type="spellEnd"/>
      <w:r w:rsidRPr="003C5E36">
        <w:rPr>
          <w:rFonts w:ascii="Arial" w:hAnsi="Arial" w:cs="Arial"/>
          <w:i/>
          <w:iCs/>
          <w:color w:val="212121"/>
          <w:sz w:val="20"/>
          <w:szCs w:val="20"/>
          <w:shd w:val="clear" w:color="auto" w:fill="FFFFFF"/>
        </w:rPr>
        <w:t xml:space="preserve"> J Med. </w:t>
      </w:r>
      <w:r w:rsidRPr="003C5E36">
        <w:rPr>
          <w:rFonts w:ascii="Arial" w:hAnsi="Arial" w:cs="Arial"/>
          <w:b/>
          <w:bCs/>
          <w:color w:val="212121"/>
          <w:sz w:val="20"/>
          <w:szCs w:val="20"/>
          <w:shd w:val="clear" w:color="auto" w:fill="FFFFFF"/>
        </w:rPr>
        <w:t>2021</w:t>
      </w:r>
      <w:r w:rsidR="00A0044F" w:rsidRPr="003C5E36">
        <w:rPr>
          <w:rFonts w:ascii="Arial" w:hAnsi="Arial" w:cs="Arial"/>
          <w:color w:val="212121"/>
          <w:sz w:val="20"/>
          <w:szCs w:val="20"/>
          <w:shd w:val="clear" w:color="auto" w:fill="FFFFFF"/>
        </w:rPr>
        <w:t>,</w:t>
      </w:r>
      <w:r w:rsidR="00911A17" w:rsidRPr="003C5E36">
        <w:rPr>
          <w:rFonts w:ascii="Arial" w:hAnsi="Arial" w:cs="Arial"/>
          <w:color w:val="212121"/>
          <w:sz w:val="20"/>
          <w:szCs w:val="20"/>
          <w:shd w:val="clear" w:color="auto" w:fill="FFFFFF"/>
        </w:rPr>
        <w:t xml:space="preserve"> </w:t>
      </w:r>
      <w:r w:rsidRPr="003C5E36">
        <w:rPr>
          <w:rFonts w:ascii="Arial" w:hAnsi="Arial" w:cs="Arial"/>
          <w:i/>
          <w:iCs/>
          <w:color w:val="212121"/>
          <w:sz w:val="20"/>
          <w:szCs w:val="20"/>
          <w:shd w:val="clear" w:color="auto" w:fill="FFFFFF"/>
        </w:rPr>
        <w:t>384</w:t>
      </w:r>
      <w:r w:rsidR="00911A17" w:rsidRPr="003C5E36">
        <w:rPr>
          <w:rFonts w:ascii="Arial" w:hAnsi="Arial" w:cs="Arial"/>
          <w:color w:val="212121"/>
          <w:sz w:val="20"/>
          <w:szCs w:val="20"/>
          <w:shd w:val="clear" w:color="auto" w:fill="FFFFFF"/>
        </w:rPr>
        <w:t xml:space="preserve">, </w:t>
      </w:r>
      <w:r w:rsidRPr="003C5E36">
        <w:rPr>
          <w:rFonts w:ascii="Arial" w:hAnsi="Arial" w:cs="Arial"/>
          <w:color w:val="212121"/>
          <w:sz w:val="20"/>
          <w:szCs w:val="20"/>
          <w:shd w:val="clear" w:color="auto" w:fill="FFFFFF"/>
        </w:rPr>
        <w:t xml:space="preserve">1101. </w:t>
      </w:r>
      <w:proofErr w:type="spellStart"/>
      <w:r w:rsidRPr="003C5E36">
        <w:rPr>
          <w:rFonts w:ascii="Arial" w:hAnsi="Arial" w:cs="Arial"/>
          <w:color w:val="212121"/>
          <w:sz w:val="20"/>
          <w:szCs w:val="20"/>
          <w:shd w:val="clear" w:color="auto" w:fill="FFFFFF"/>
        </w:rPr>
        <w:t>doi</w:t>
      </w:r>
      <w:proofErr w:type="spellEnd"/>
      <w:r w:rsidRPr="003C5E36">
        <w:rPr>
          <w:rFonts w:ascii="Arial" w:hAnsi="Arial" w:cs="Arial"/>
          <w:color w:val="212121"/>
          <w:sz w:val="20"/>
          <w:szCs w:val="20"/>
          <w:shd w:val="clear" w:color="auto" w:fill="FFFFFF"/>
        </w:rPr>
        <w:t>: 10.1056/NEJMoa2019380</w:t>
      </w:r>
      <w:r w:rsidR="00911A17" w:rsidRPr="003C5E36">
        <w:rPr>
          <w:rFonts w:ascii="Arial" w:hAnsi="Arial" w:cs="Arial"/>
          <w:color w:val="212121"/>
          <w:sz w:val="20"/>
          <w:szCs w:val="20"/>
          <w:shd w:val="clear" w:color="auto" w:fill="FFFFFF"/>
        </w:rPr>
        <w:t>.</w:t>
      </w:r>
    </w:p>
    <w:sectPr w:rsidR="00A518C9" w:rsidRPr="003C5E36" w:rsidSect="00767D37">
      <w:headerReference w:type="default" r:id="rId18"/>
      <w:footerReference w:type="default" r:id="rId19"/>
      <w:pgSz w:w="12220" w:h="15840"/>
      <w:pgMar w:top="1440" w:right="720" w:bottom="1440" w:left="720" w:header="274" w:footer="25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D0EAB" w14:textId="77777777" w:rsidR="007F1383" w:rsidRDefault="007F1383">
      <w:r>
        <w:separator/>
      </w:r>
    </w:p>
  </w:endnote>
  <w:endnote w:type="continuationSeparator" w:id="0">
    <w:p w14:paraId="2448AB5A" w14:textId="77777777" w:rsidR="007F1383" w:rsidRDefault="007F1383">
      <w:r>
        <w:continuationSeparator/>
      </w:r>
    </w:p>
  </w:endnote>
  <w:endnote w:type="continuationNotice" w:id="1">
    <w:p w14:paraId="132BACCF" w14:textId="77777777" w:rsidR="007F1383" w:rsidRDefault="007F1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dvTTec369687+22">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6EE0" w14:textId="77777777" w:rsidR="00336EAA" w:rsidRDefault="000C259D">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2F393F9E" wp14:editId="424A600C">
              <wp:simplePos x="0" y="0"/>
              <wp:positionH relativeFrom="page">
                <wp:posOffset>317500</wp:posOffset>
              </wp:positionH>
              <wp:positionV relativeFrom="page">
                <wp:posOffset>9753600</wp:posOffset>
              </wp:positionV>
              <wp:extent cx="2235200" cy="127000"/>
              <wp:effectExtent l="317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93F9E" id="_x0000_t202" coordsize="21600,21600" o:spt="202" path="m,l,21600r21600,l21600,xe">
              <v:stroke joinstyle="miter"/>
              <v:path gradientshapeok="t" o:connecttype="rect"/>
            </v:shapetype>
            <v:shape id="Text Box 2" o:spid="_x0000_s1026" type="#_x0000_t202" style="position:absolute;margin-left:25pt;margin-top:768pt;width:176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" filled="f" stroked="f">
              <v:textbox inset="0,0,0,0">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3A53896C" wp14:editId="31CBBEA4">
              <wp:simplePos x="0" y="0"/>
              <wp:positionH relativeFrom="page">
                <wp:posOffset>7277100</wp:posOffset>
              </wp:positionH>
              <wp:positionV relativeFrom="page">
                <wp:posOffset>9753600</wp:posOffset>
              </wp:positionV>
              <wp:extent cx="165100" cy="127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3896C" id="Text Box 1" o:spid="_x0000_s1027" type="#_x0000_t202" style="position:absolute;margin-left:573pt;margin-top:768pt;width:13pt;height:10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" filled="f" stroked="f">
              <v:textbox inset="0,0,0,0">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74A19" w14:textId="77777777" w:rsidR="007F1383" w:rsidRDefault="007F1383">
      <w:r>
        <w:separator/>
      </w:r>
    </w:p>
  </w:footnote>
  <w:footnote w:type="continuationSeparator" w:id="0">
    <w:p w14:paraId="621B71E3" w14:textId="77777777" w:rsidR="007F1383" w:rsidRDefault="007F1383">
      <w:r>
        <w:continuationSeparator/>
      </w:r>
    </w:p>
  </w:footnote>
  <w:footnote w:type="continuationNotice" w:id="1">
    <w:p w14:paraId="09A15A49" w14:textId="77777777" w:rsidR="007F1383" w:rsidRDefault="007F13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4D48" w14:textId="6B6C5198" w:rsidR="00336EAA" w:rsidRDefault="00336EAA">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CE83016"/>
    <w:lvl w:ilvl="0">
      <w:start w:val="1"/>
      <w:numFmt w:val="decimal"/>
      <w:lvlText w:val="%1."/>
      <w:lvlJc w:val="left"/>
      <w:pPr>
        <w:tabs>
          <w:tab w:val="num" w:pos="360"/>
        </w:tabs>
        <w:ind w:left="360" w:hanging="360"/>
      </w:pPr>
      <w:rPr>
        <w:vertAlign w:val="superscript"/>
      </w:rPr>
    </w:lvl>
  </w:abstractNum>
  <w:abstractNum w:abstractNumId="1" w15:restartNumberingAfterBreak="0">
    <w:nsid w:val="03BA1CAE"/>
    <w:multiLevelType w:val="multilevel"/>
    <w:tmpl w:val="DE5AC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7E7A61"/>
    <w:multiLevelType w:val="multilevel"/>
    <w:tmpl w:val="71D46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4B44BD"/>
    <w:multiLevelType w:val="singleLevel"/>
    <w:tmpl w:val="88745FC4"/>
    <w:name w:val="dtNM List Number"/>
    <w:lvl w:ilvl="0">
      <w:start w:val="1"/>
      <w:numFmt w:val="decimal"/>
      <w:lvlRestart w:val="0"/>
      <w:pStyle w:val="ListNumber"/>
      <w:lvlText w:val="%1."/>
      <w:lvlJc w:val="left"/>
      <w:pPr>
        <w:tabs>
          <w:tab w:val="num" w:pos="360"/>
        </w:tabs>
        <w:ind w:left="360" w:hanging="360"/>
      </w:pPr>
      <w:rPr>
        <w:caps w:val="0"/>
        <w:u w:val="none"/>
      </w:rPr>
    </w:lvl>
  </w:abstractNum>
  <w:abstractNum w:abstractNumId="4" w15:restartNumberingAfterBreak="0">
    <w:nsid w:val="2FE47AFC"/>
    <w:multiLevelType w:val="hybridMultilevel"/>
    <w:tmpl w:val="B2169A9A"/>
    <w:lvl w:ilvl="0" w:tplc="0BB44CBC">
      <w:start w:val="5"/>
      <w:numFmt w:val="decimal"/>
      <w:lvlText w:val="(%1)"/>
      <w:lvlJc w:val="left"/>
      <w:pPr>
        <w:ind w:left="1090" w:hanging="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7D548E"/>
    <w:multiLevelType w:val="multilevel"/>
    <w:tmpl w:val="12349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EA7D9E"/>
    <w:multiLevelType w:val="multilevel"/>
    <w:tmpl w:val="D5FA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E06E70"/>
    <w:multiLevelType w:val="hybridMultilevel"/>
    <w:tmpl w:val="3C42FD42"/>
    <w:lvl w:ilvl="0" w:tplc="55A4EA6E">
      <w:start w:val="1"/>
      <w:numFmt w:val="decimal"/>
      <w:lvlText w:val="(%1)"/>
      <w:lvlJc w:val="left"/>
      <w:pPr>
        <w:ind w:left="1090" w:hanging="3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AC756B"/>
    <w:multiLevelType w:val="hybridMultilevel"/>
    <w:tmpl w:val="3994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E8522C"/>
    <w:multiLevelType w:val="hybridMultilevel"/>
    <w:tmpl w:val="4648B96A"/>
    <w:lvl w:ilvl="0" w:tplc="D1009C7A">
      <w:start w:val="1"/>
      <w:numFmt w:val="bullet"/>
      <w:lvlText w:val="•"/>
      <w:lvlJc w:val="left"/>
      <w:pPr>
        <w:tabs>
          <w:tab w:val="num" w:pos="720"/>
        </w:tabs>
        <w:ind w:left="720" w:hanging="360"/>
      </w:pPr>
      <w:rPr>
        <w:rFonts w:ascii="Arial" w:hAnsi="Arial" w:hint="default"/>
      </w:rPr>
    </w:lvl>
    <w:lvl w:ilvl="1" w:tplc="61848C62" w:tentative="1">
      <w:start w:val="1"/>
      <w:numFmt w:val="bullet"/>
      <w:lvlText w:val="•"/>
      <w:lvlJc w:val="left"/>
      <w:pPr>
        <w:tabs>
          <w:tab w:val="num" w:pos="1440"/>
        </w:tabs>
        <w:ind w:left="1440" w:hanging="360"/>
      </w:pPr>
      <w:rPr>
        <w:rFonts w:ascii="Arial" w:hAnsi="Arial" w:hint="default"/>
      </w:rPr>
    </w:lvl>
    <w:lvl w:ilvl="2" w:tplc="301E7314" w:tentative="1">
      <w:start w:val="1"/>
      <w:numFmt w:val="bullet"/>
      <w:lvlText w:val="•"/>
      <w:lvlJc w:val="left"/>
      <w:pPr>
        <w:tabs>
          <w:tab w:val="num" w:pos="2160"/>
        </w:tabs>
        <w:ind w:left="2160" w:hanging="360"/>
      </w:pPr>
      <w:rPr>
        <w:rFonts w:ascii="Arial" w:hAnsi="Arial" w:hint="default"/>
      </w:rPr>
    </w:lvl>
    <w:lvl w:ilvl="3" w:tplc="21EEFDD4" w:tentative="1">
      <w:start w:val="1"/>
      <w:numFmt w:val="bullet"/>
      <w:lvlText w:val="•"/>
      <w:lvlJc w:val="left"/>
      <w:pPr>
        <w:tabs>
          <w:tab w:val="num" w:pos="2880"/>
        </w:tabs>
        <w:ind w:left="2880" w:hanging="360"/>
      </w:pPr>
      <w:rPr>
        <w:rFonts w:ascii="Arial" w:hAnsi="Arial" w:hint="default"/>
      </w:rPr>
    </w:lvl>
    <w:lvl w:ilvl="4" w:tplc="3E5E2FFE" w:tentative="1">
      <w:start w:val="1"/>
      <w:numFmt w:val="bullet"/>
      <w:lvlText w:val="•"/>
      <w:lvlJc w:val="left"/>
      <w:pPr>
        <w:tabs>
          <w:tab w:val="num" w:pos="3600"/>
        </w:tabs>
        <w:ind w:left="3600" w:hanging="360"/>
      </w:pPr>
      <w:rPr>
        <w:rFonts w:ascii="Arial" w:hAnsi="Arial" w:hint="default"/>
      </w:rPr>
    </w:lvl>
    <w:lvl w:ilvl="5" w:tplc="7A7EC218" w:tentative="1">
      <w:start w:val="1"/>
      <w:numFmt w:val="bullet"/>
      <w:lvlText w:val="•"/>
      <w:lvlJc w:val="left"/>
      <w:pPr>
        <w:tabs>
          <w:tab w:val="num" w:pos="4320"/>
        </w:tabs>
        <w:ind w:left="4320" w:hanging="360"/>
      </w:pPr>
      <w:rPr>
        <w:rFonts w:ascii="Arial" w:hAnsi="Arial" w:hint="default"/>
      </w:rPr>
    </w:lvl>
    <w:lvl w:ilvl="6" w:tplc="A96AB734" w:tentative="1">
      <w:start w:val="1"/>
      <w:numFmt w:val="bullet"/>
      <w:lvlText w:val="•"/>
      <w:lvlJc w:val="left"/>
      <w:pPr>
        <w:tabs>
          <w:tab w:val="num" w:pos="5040"/>
        </w:tabs>
        <w:ind w:left="5040" w:hanging="360"/>
      </w:pPr>
      <w:rPr>
        <w:rFonts w:ascii="Arial" w:hAnsi="Arial" w:hint="default"/>
      </w:rPr>
    </w:lvl>
    <w:lvl w:ilvl="7" w:tplc="C7A457B2" w:tentative="1">
      <w:start w:val="1"/>
      <w:numFmt w:val="bullet"/>
      <w:lvlText w:val="•"/>
      <w:lvlJc w:val="left"/>
      <w:pPr>
        <w:tabs>
          <w:tab w:val="num" w:pos="5760"/>
        </w:tabs>
        <w:ind w:left="5760" w:hanging="360"/>
      </w:pPr>
      <w:rPr>
        <w:rFonts w:ascii="Arial" w:hAnsi="Arial" w:hint="default"/>
      </w:rPr>
    </w:lvl>
    <w:lvl w:ilvl="8" w:tplc="C428C40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1340C8A"/>
    <w:multiLevelType w:val="hybridMultilevel"/>
    <w:tmpl w:val="221000B6"/>
    <w:lvl w:ilvl="0" w:tplc="4254E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EE21C3F"/>
    <w:multiLevelType w:val="multilevel"/>
    <w:tmpl w:val="8164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8"/>
  </w:num>
  <w:num w:numId="4">
    <w:abstractNumId w:val="7"/>
  </w:num>
  <w:num w:numId="5">
    <w:abstractNumId w:val="4"/>
  </w:num>
  <w:num w:numId="6">
    <w:abstractNumId w:val="1"/>
  </w:num>
  <w:num w:numId="7">
    <w:abstractNumId w:val="6"/>
  </w:num>
  <w:num w:numId="8">
    <w:abstractNumId w:val="5"/>
  </w:num>
  <w:num w:numId="9">
    <w:abstractNumId w:val="11"/>
  </w:num>
  <w:num w:numId="10">
    <w:abstractNumId w:val="9"/>
  </w:num>
  <w:num w:numId="11">
    <w:abstractNumId w:val="0"/>
    <w:lvlOverride w:ilvl="0">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EAA"/>
    <w:rsid w:val="00000741"/>
    <w:rsid w:val="000046EE"/>
    <w:rsid w:val="00005AF6"/>
    <w:rsid w:val="00006042"/>
    <w:rsid w:val="00007A73"/>
    <w:rsid w:val="00011037"/>
    <w:rsid w:val="00011C1A"/>
    <w:rsid w:val="0001711E"/>
    <w:rsid w:val="000210EC"/>
    <w:rsid w:val="00025CE1"/>
    <w:rsid w:val="00025FD3"/>
    <w:rsid w:val="00026E2E"/>
    <w:rsid w:val="0002739C"/>
    <w:rsid w:val="00032DC7"/>
    <w:rsid w:val="000340BC"/>
    <w:rsid w:val="00040C99"/>
    <w:rsid w:val="00040F71"/>
    <w:rsid w:val="000410F7"/>
    <w:rsid w:val="0004172B"/>
    <w:rsid w:val="00042071"/>
    <w:rsid w:val="00047E96"/>
    <w:rsid w:val="0005005B"/>
    <w:rsid w:val="000509C4"/>
    <w:rsid w:val="00052145"/>
    <w:rsid w:val="00052DF0"/>
    <w:rsid w:val="00062ABD"/>
    <w:rsid w:val="000658F0"/>
    <w:rsid w:val="00066E7D"/>
    <w:rsid w:val="0006742C"/>
    <w:rsid w:val="000706BE"/>
    <w:rsid w:val="00070D75"/>
    <w:rsid w:val="00071618"/>
    <w:rsid w:val="000723E5"/>
    <w:rsid w:val="0007394C"/>
    <w:rsid w:val="00073CA6"/>
    <w:rsid w:val="0007444C"/>
    <w:rsid w:val="00074A0E"/>
    <w:rsid w:val="00082204"/>
    <w:rsid w:val="00083985"/>
    <w:rsid w:val="00090BC2"/>
    <w:rsid w:val="0009138D"/>
    <w:rsid w:val="00091B2C"/>
    <w:rsid w:val="000923AD"/>
    <w:rsid w:val="000930C8"/>
    <w:rsid w:val="0009329D"/>
    <w:rsid w:val="00097DEE"/>
    <w:rsid w:val="000A06C4"/>
    <w:rsid w:val="000A1515"/>
    <w:rsid w:val="000A2946"/>
    <w:rsid w:val="000A7D92"/>
    <w:rsid w:val="000B0867"/>
    <w:rsid w:val="000B0C63"/>
    <w:rsid w:val="000B37FA"/>
    <w:rsid w:val="000B500C"/>
    <w:rsid w:val="000C259D"/>
    <w:rsid w:val="000C3A6E"/>
    <w:rsid w:val="000C3D95"/>
    <w:rsid w:val="000D26F5"/>
    <w:rsid w:val="000E0022"/>
    <w:rsid w:val="000E10DC"/>
    <w:rsid w:val="000E17BA"/>
    <w:rsid w:val="000E2534"/>
    <w:rsid w:val="000E347D"/>
    <w:rsid w:val="000E60C0"/>
    <w:rsid w:val="000E6C55"/>
    <w:rsid w:val="000F04E5"/>
    <w:rsid w:val="000F5EDC"/>
    <w:rsid w:val="000F7075"/>
    <w:rsid w:val="000F7D8B"/>
    <w:rsid w:val="001001C0"/>
    <w:rsid w:val="00103C34"/>
    <w:rsid w:val="00103FBA"/>
    <w:rsid w:val="001070B0"/>
    <w:rsid w:val="001130AD"/>
    <w:rsid w:val="0011332B"/>
    <w:rsid w:val="00113410"/>
    <w:rsid w:val="00115776"/>
    <w:rsid w:val="00115D1F"/>
    <w:rsid w:val="00120850"/>
    <w:rsid w:val="00121978"/>
    <w:rsid w:val="00122185"/>
    <w:rsid w:val="0012401C"/>
    <w:rsid w:val="0012516A"/>
    <w:rsid w:val="00127801"/>
    <w:rsid w:val="00130954"/>
    <w:rsid w:val="00132A24"/>
    <w:rsid w:val="00133F06"/>
    <w:rsid w:val="00135DBE"/>
    <w:rsid w:val="00136FCD"/>
    <w:rsid w:val="00137E71"/>
    <w:rsid w:val="001434D9"/>
    <w:rsid w:val="00143F0D"/>
    <w:rsid w:val="00144F89"/>
    <w:rsid w:val="0014549C"/>
    <w:rsid w:val="001526E3"/>
    <w:rsid w:val="0015515D"/>
    <w:rsid w:val="00164187"/>
    <w:rsid w:val="001647B3"/>
    <w:rsid w:val="001653E3"/>
    <w:rsid w:val="001660EF"/>
    <w:rsid w:val="00167761"/>
    <w:rsid w:val="0017009E"/>
    <w:rsid w:val="00173570"/>
    <w:rsid w:val="00174DBC"/>
    <w:rsid w:val="0017621A"/>
    <w:rsid w:val="001766F8"/>
    <w:rsid w:val="00177046"/>
    <w:rsid w:val="00180369"/>
    <w:rsid w:val="00182E72"/>
    <w:rsid w:val="0018344C"/>
    <w:rsid w:val="001836D6"/>
    <w:rsid w:val="001856CC"/>
    <w:rsid w:val="00186811"/>
    <w:rsid w:val="00187CE7"/>
    <w:rsid w:val="00190F21"/>
    <w:rsid w:val="001913FE"/>
    <w:rsid w:val="00191687"/>
    <w:rsid w:val="001918CF"/>
    <w:rsid w:val="00191E5B"/>
    <w:rsid w:val="00191F6F"/>
    <w:rsid w:val="00193372"/>
    <w:rsid w:val="0019685A"/>
    <w:rsid w:val="00196A4D"/>
    <w:rsid w:val="001976D7"/>
    <w:rsid w:val="001A1323"/>
    <w:rsid w:val="001A43C8"/>
    <w:rsid w:val="001A77DE"/>
    <w:rsid w:val="001B095D"/>
    <w:rsid w:val="001B1D86"/>
    <w:rsid w:val="001B3807"/>
    <w:rsid w:val="001B417A"/>
    <w:rsid w:val="001B6D54"/>
    <w:rsid w:val="001B7FEB"/>
    <w:rsid w:val="001C0030"/>
    <w:rsid w:val="001C10FE"/>
    <w:rsid w:val="001C24F4"/>
    <w:rsid w:val="001C524D"/>
    <w:rsid w:val="001C53B1"/>
    <w:rsid w:val="001D0165"/>
    <w:rsid w:val="001D0C29"/>
    <w:rsid w:val="001D6331"/>
    <w:rsid w:val="001E12A6"/>
    <w:rsid w:val="001E167B"/>
    <w:rsid w:val="001E1852"/>
    <w:rsid w:val="001E39F2"/>
    <w:rsid w:val="001E3EA3"/>
    <w:rsid w:val="001E4A26"/>
    <w:rsid w:val="001E5AC4"/>
    <w:rsid w:val="001F5477"/>
    <w:rsid w:val="00201A20"/>
    <w:rsid w:val="00207074"/>
    <w:rsid w:val="00211131"/>
    <w:rsid w:val="0021187D"/>
    <w:rsid w:val="002125C9"/>
    <w:rsid w:val="00214128"/>
    <w:rsid w:val="00215C5C"/>
    <w:rsid w:val="00220E0B"/>
    <w:rsid w:val="00220F55"/>
    <w:rsid w:val="002216BD"/>
    <w:rsid w:val="00223CB5"/>
    <w:rsid w:val="00224091"/>
    <w:rsid w:val="002252C3"/>
    <w:rsid w:val="002261D8"/>
    <w:rsid w:val="0023009F"/>
    <w:rsid w:val="00234166"/>
    <w:rsid w:val="002415B5"/>
    <w:rsid w:val="00244403"/>
    <w:rsid w:val="00246A12"/>
    <w:rsid w:val="00250D78"/>
    <w:rsid w:val="002534D3"/>
    <w:rsid w:val="002537F0"/>
    <w:rsid w:val="0025566E"/>
    <w:rsid w:val="00256213"/>
    <w:rsid w:val="002571A7"/>
    <w:rsid w:val="00257345"/>
    <w:rsid w:val="00261ADD"/>
    <w:rsid w:val="00261CFA"/>
    <w:rsid w:val="00264604"/>
    <w:rsid w:val="00271F2B"/>
    <w:rsid w:val="002722E4"/>
    <w:rsid w:val="00272932"/>
    <w:rsid w:val="00272CF3"/>
    <w:rsid w:val="00276126"/>
    <w:rsid w:val="00281117"/>
    <w:rsid w:val="0029159B"/>
    <w:rsid w:val="00292280"/>
    <w:rsid w:val="002958B2"/>
    <w:rsid w:val="00297C16"/>
    <w:rsid w:val="002A5A39"/>
    <w:rsid w:val="002B1169"/>
    <w:rsid w:val="002B183D"/>
    <w:rsid w:val="002B2CE1"/>
    <w:rsid w:val="002B3927"/>
    <w:rsid w:val="002B6273"/>
    <w:rsid w:val="002C1D09"/>
    <w:rsid w:val="002C3C2B"/>
    <w:rsid w:val="002D55E1"/>
    <w:rsid w:val="002D5783"/>
    <w:rsid w:val="002D6794"/>
    <w:rsid w:val="002D76BE"/>
    <w:rsid w:val="002E06A3"/>
    <w:rsid w:val="002E1952"/>
    <w:rsid w:val="002E4811"/>
    <w:rsid w:val="002E56F5"/>
    <w:rsid w:val="002E6998"/>
    <w:rsid w:val="002E6CAD"/>
    <w:rsid w:val="002F2993"/>
    <w:rsid w:val="002F4450"/>
    <w:rsid w:val="002F7147"/>
    <w:rsid w:val="002F7268"/>
    <w:rsid w:val="00301F54"/>
    <w:rsid w:val="00302586"/>
    <w:rsid w:val="00302BE4"/>
    <w:rsid w:val="003035AA"/>
    <w:rsid w:val="0030406A"/>
    <w:rsid w:val="003049F9"/>
    <w:rsid w:val="00305FBF"/>
    <w:rsid w:val="0030631C"/>
    <w:rsid w:val="00310059"/>
    <w:rsid w:val="003102D4"/>
    <w:rsid w:val="00310C1E"/>
    <w:rsid w:val="00310C64"/>
    <w:rsid w:val="00311029"/>
    <w:rsid w:val="003143F0"/>
    <w:rsid w:val="00317C48"/>
    <w:rsid w:val="00320141"/>
    <w:rsid w:val="00323A1C"/>
    <w:rsid w:val="00324013"/>
    <w:rsid w:val="0032442F"/>
    <w:rsid w:val="00324512"/>
    <w:rsid w:val="00324EC2"/>
    <w:rsid w:val="00327E35"/>
    <w:rsid w:val="00331DBD"/>
    <w:rsid w:val="0033336B"/>
    <w:rsid w:val="00334E6D"/>
    <w:rsid w:val="003354E7"/>
    <w:rsid w:val="00336639"/>
    <w:rsid w:val="00336EAA"/>
    <w:rsid w:val="0034054A"/>
    <w:rsid w:val="0034409E"/>
    <w:rsid w:val="00345012"/>
    <w:rsid w:val="003456CB"/>
    <w:rsid w:val="00350511"/>
    <w:rsid w:val="003515B5"/>
    <w:rsid w:val="00353273"/>
    <w:rsid w:val="003547B6"/>
    <w:rsid w:val="003553E6"/>
    <w:rsid w:val="00355924"/>
    <w:rsid w:val="00355F28"/>
    <w:rsid w:val="00357188"/>
    <w:rsid w:val="00357A6A"/>
    <w:rsid w:val="00361020"/>
    <w:rsid w:val="00361499"/>
    <w:rsid w:val="00361BEE"/>
    <w:rsid w:val="00363A63"/>
    <w:rsid w:val="003641F9"/>
    <w:rsid w:val="003646FC"/>
    <w:rsid w:val="003668D1"/>
    <w:rsid w:val="00367A68"/>
    <w:rsid w:val="003712BC"/>
    <w:rsid w:val="00371DD6"/>
    <w:rsid w:val="00372296"/>
    <w:rsid w:val="0037314F"/>
    <w:rsid w:val="003823DD"/>
    <w:rsid w:val="00382FEA"/>
    <w:rsid w:val="003837CC"/>
    <w:rsid w:val="00383FE2"/>
    <w:rsid w:val="00385C57"/>
    <w:rsid w:val="00390B62"/>
    <w:rsid w:val="00391DA5"/>
    <w:rsid w:val="00391DD8"/>
    <w:rsid w:val="003A08D7"/>
    <w:rsid w:val="003A2971"/>
    <w:rsid w:val="003A511F"/>
    <w:rsid w:val="003B0D70"/>
    <w:rsid w:val="003B1F47"/>
    <w:rsid w:val="003B2002"/>
    <w:rsid w:val="003B291A"/>
    <w:rsid w:val="003B4C94"/>
    <w:rsid w:val="003B4D7B"/>
    <w:rsid w:val="003B62B8"/>
    <w:rsid w:val="003B7A9A"/>
    <w:rsid w:val="003C0673"/>
    <w:rsid w:val="003C09ED"/>
    <w:rsid w:val="003C1102"/>
    <w:rsid w:val="003C16CE"/>
    <w:rsid w:val="003C56DB"/>
    <w:rsid w:val="003C58CD"/>
    <w:rsid w:val="003C5E36"/>
    <w:rsid w:val="003C666A"/>
    <w:rsid w:val="003C6A5A"/>
    <w:rsid w:val="003C7C5F"/>
    <w:rsid w:val="003D02B3"/>
    <w:rsid w:val="003D151B"/>
    <w:rsid w:val="003D4284"/>
    <w:rsid w:val="003D6D08"/>
    <w:rsid w:val="003E0CF7"/>
    <w:rsid w:val="003E222C"/>
    <w:rsid w:val="003E5F93"/>
    <w:rsid w:val="003F07E8"/>
    <w:rsid w:val="003F3D29"/>
    <w:rsid w:val="003F46D8"/>
    <w:rsid w:val="003F4CE1"/>
    <w:rsid w:val="003F4FA6"/>
    <w:rsid w:val="003F7469"/>
    <w:rsid w:val="003F7D4F"/>
    <w:rsid w:val="00402755"/>
    <w:rsid w:val="00410976"/>
    <w:rsid w:val="00411D6A"/>
    <w:rsid w:val="00416C2C"/>
    <w:rsid w:val="0043099D"/>
    <w:rsid w:val="00430EFE"/>
    <w:rsid w:val="0043258A"/>
    <w:rsid w:val="004352F6"/>
    <w:rsid w:val="0043653D"/>
    <w:rsid w:val="004367BB"/>
    <w:rsid w:val="00437E84"/>
    <w:rsid w:val="00440E57"/>
    <w:rsid w:val="0044156D"/>
    <w:rsid w:val="00441FAC"/>
    <w:rsid w:val="004425E3"/>
    <w:rsid w:val="00451465"/>
    <w:rsid w:val="0045246A"/>
    <w:rsid w:val="004559AD"/>
    <w:rsid w:val="00455F31"/>
    <w:rsid w:val="00457C76"/>
    <w:rsid w:val="00462425"/>
    <w:rsid w:val="00463084"/>
    <w:rsid w:val="00463F64"/>
    <w:rsid w:val="004640E9"/>
    <w:rsid w:val="004647AF"/>
    <w:rsid w:val="004651B8"/>
    <w:rsid w:val="00465873"/>
    <w:rsid w:val="00472F15"/>
    <w:rsid w:val="0048005D"/>
    <w:rsid w:val="00483E40"/>
    <w:rsid w:val="00485C80"/>
    <w:rsid w:val="004869D1"/>
    <w:rsid w:val="00486C32"/>
    <w:rsid w:val="004877BC"/>
    <w:rsid w:val="0049564D"/>
    <w:rsid w:val="00495A4A"/>
    <w:rsid w:val="004A18E4"/>
    <w:rsid w:val="004A2109"/>
    <w:rsid w:val="004A37A8"/>
    <w:rsid w:val="004A4C2B"/>
    <w:rsid w:val="004A637C"/>
    <w:rsid w:val="004A6921"/>
    <w:rsid w:val="004B0E6F"/>
    <w:rsid w:val="004B6B8E"/>
    <w:rsid w:val="004C1D5D"/>
    <w:rsid w:val="004C3630"/>
    <w:rsid w:val="004C407A"/>
    <w:rsid w:val="004C643A"/>
    <w:rsid w:val="004C76D4"/>
    <w:rsid w:val="004C791E"/>
    <w:rsid w:val="004D0612"/>
    <w:rsid w:val="004D06BC"/>
    <w:rsid w:val="004D190B"/>
    <w:rsid w:val="004D1CE4"/>
    <w:rsid w:val="004D20FA"/>
    <w:rsid w:val="004D25FD"/>
    <w:rsid w:val="004D294D"/>
    <w:rsid w:val="004D3770"/>
    <w:rsid w:val="004D3B8F"/>
    <w:rsid w:val="004D74F4"/>
    <w:rsid w:val="004E1065"/>
    <w:rsid w:val="004E5B94"/>
    <w:rsid w:val="004E7175"/>
    <w:rsid w:val="004E749D"/>
    <w:rsid w:val="004F00DD"/>
    <w:rsid w:val="004F258B"/>
    <w:rsid w:val="004F77D9"/>
    <w:rsid w:val="00501C25"/>
    <w:rsid w:val="00502803"/>
    <w:rsid w:val="00510BFD"/>
    <w:rsid w:val="0051209A"/>
    <w:rsid w:val="00513AC4"/>
    <w:rsid w:val="00521BD0"/>
    <w:rsid w:val="00521C66"/>
    <w:rsid w:val="00521F62"/>
    <w:rsid w:val="00521F68"/>
    <w:rsid w:val="00526359"/>
    <w:rsid w:val="005312E9"/>
    <w:rsid w:val="005336D9"/>
    <w:rsid w:val="00533FB4"/>
    <w:rsid w:val="005358EA"/>
    <w:rsid w:val="005417EE"/>
    <w:rsid w:val="00541F63"/>
    <w:rsid w:val="00542965"/>
    <w:rsid w:val="005433D6"/>
    <w:rsid w:val="00545107"/>
    <w:rsid w:val="00545B43"/>
    <w:rsid w:val="00546653"/>
    <w:rsid w:val="005478AE"/>
    <w:rsid w:val="00550D18"/>
    <w:rsid w:val="0055663F"/>
    <w:rsid w:val="00563B33"/>
    <w:rsid w:val="00564D3D"/>
    <w:rsid w:val="00566C1D"/>
    <w:rsid w:val="00570339"/>
    <w:rsid w:val="0057091F"/>
    <w:rsid w:val="005709B0"/>
    <w:rsid w:val="00572A23"/>
    <w:rsid w:val="0057594A"/>
    <w:rsid w:val="005770F1"/>
    <w:rsid w:val="0057710E"/>
    <w:rsid w:val="0057724C"/>
    <w:rsid w:val="00577FE4"/>
    <w:rsid w:val="00583830"/>
    <w:rsid w:val="0058418D"/>
    <w:rsid w:val="00586489"/>
    <w:rsid w:val="005867D6"/>
    <w:rsid w:val="00586911"/>
    <w:rsid w:val="00586B59"/>
    <w:rsid w:val="00590867"/>
    <w:rsid w:val="0059248E"/>
    <w:rsid w:val="00597AF6"/>
    <w:rsid w:val="005A2352"/>
    <w:rsid w:val="005A3397"/>
    <w:rsid w:val="005A45A0"/>
    <w:rsid w:val="005A6897"/>
    <w:rsid w:val="005B1726"/>
    <w:rsid w:val="005B1A6C"/>
    <w:rsid w:val="005B1EA6"/>
    <w:rsid w:val="005B456B"/>
    <w:rsid w:val="005B4C61"/>
    <w:rsid w:val="005B5D4B"/>
    <w:rsid w:val="005C63D2"/>
    <w:rsid w:val="005D32B6"/>
    <w:rsid w:val="005D6132"/>
    <w:rsid w:val="005D6E2C"/>
    <w:rsid w:val="005D7D43"/>
    <w:rsid w:val="005E0AED"/>
    <w:rsid w:val="005E42F7"/>
    <w:rsid w:val="005F019E"/>
    <w:rsid w:val="005F0553"/>
    <w:rsid w:val="005F6705"/>
    <w:rsid w:val="00600B13"/>
    <w:rsid w:val="0060558C"/>
    <w:rsid w:val="00611E41"/>
    <w:rsid w:val="00613E99"/>
    <w:rsid w:val="00614C09"/>
    <w:rsid w:val="00615344"/>
    <w:rsid w:val="006162E5"/>
    <w:rsid w:val="00620B5C"/>
    <w:rsid w:val="006229F8"/>
    <w:rsid w:val="00623059"/>
    <w:rsid w:val="00623792"/>
    <w:rsid w:val="00624129"/>
    <w:rsid w:val="00626FF0"/>
    <w:rsid w:val="00633790"/>
    <w:rsid w:val="00634007"/>
    <w:rsid w:val="0063756F"/>
    <w:rsid w:val="0064425B"/>
    <w:rsid w:val="00646D7C"/>
    <w:rsid w:val="0065073C"/>
    <w:rsid w:val="006518F6"/>
    <w:rsid w:val="00653C3C"/>
    <w:rsid w:val="00660204"/>
    <w:rsid w:val="00663777"/>
    <w:rsid w:val="0066392A"/>
    <w:rsid w:val="006642AC"/>
    <w:rsid w:val="00664CD4"/>
    <w:rsid w:val="0067043F"/>
    <w:rsid w:val="006768C7"/>
    <w:rsid w:val="006774EB"/>
    <w:rsid w:val="00681649"/>
    <w:rsid w:val="006848C1"/>
    <w:rsid w:val="006910C6"/>
    <w:rsid w:val="006946E0"/>
    <w:rsid w:val="00695F25"/>
    <w:rsid w:val="00697301"/>
    <w:rsid w:val="006A02DE"/>
    <w:rsid w:val="006A0D97"/>
    <w:rsid w:val="006A1747"/>
    <w:rsid w:val="006A4CFC"/>
    <w:rsid w:val="006A4F3E"/>
    <w:rsid w:val="006A56FB"/>
    <w:rsid w:val="006A6399"/>
    <w:rsid w:val="006B02EA"/>
    <w:rsid w:val="006B3BCE"/>
    <w:rsid w:val="006B7C6C"/>
    <w:rsid w:val="006B7CB3"/>
    <w:rsid w:val="006C0596"/>
    <w:rsid w:val="006C3955"/>
    <w:rsid w:val="006C43EA"/>
    <w:rsid w:val="006C4974"/>
    <w:rsid w:val="006C5B48"/>
    <w:rsid w:val="006D0EF8"/>
    <w:rsid w:val="006D1DAE"/>
    <w:rsid w:val="006D5CE8"/>
    <w:rsid w:val="006D6521"/>
    <w:rsid w:val="006E0709"/>
    <w:rsid w:val="006E1249"/>
    <w:rsid w:val="006E28E7"/>
    <w:rsid w:val="006E34EC"/>
    <w:rsid w:val="006E40BC"/>
    <w:rsid w:val="006E5219"/>
    <w:rsid w:val="006F0982"/>
    <w:rsid w:val="007015C1"/>
    <w:rsid w:val="00701D5B"/>
    <w:rsid w:val="007024B1"/>
    <w:rsid w:val="00702D04"/>
    <w:rsid w:val="00705F65"/>
    <w:rsid w:val="00706CA2"/>
    <w:rsid w:val="007164A3"/>
    <w:rsid w:val="00717E51"/>
    <w:rsid w:val="00721AFD"/>
    <w:rsid w:val="00723112"/>
    <w:rsid w:val="00724CB1"/>
    <w:rsid w:val="00725124"/>
    <w:rsid w:val="007257E7"/>
    <w:rsid w:val="007315F7"/>
    <w:rsid w:val="007316E5"/>
    <w:rsid w:val="007318B2"/>
    <w:rsid w:val="0073596E"/>
    <w:rsid w:val="007359DF"/>
    <w:rsid w:val="007377FB"/>
    <w:rsid w:val="00740329"/>
    <w:rsid w:val="00742E10"/>
    <w:rsid w:val="00743DFF"/>
    <w:rsid w:val="00744A08"/>
    <w:rsid w:val="00745AFD"/>
    <w:rsid w:val="00745F54"/>
    <w:rsid w:val="007463F3"/>
    <w:rsid w:val="00751748"/>
    <w:rsid w:val="00751C26"/>
    <w:rsid w:val="00752933"/>
    <w:rsid w:val="00752CC7"/>
    <w:rsid w:val="00753CE7"/>
    <w:rsid w:val="0075410B"/>
    <w:rsid w:val="007564DC"/>
    <w:rsid w:val="00756AB0"/>
    <w:rsid w:val="00756ED8"/>
    <w:rsid w:val="00761D66"/>
    <w:rsid w:val="00763D34"/>
    <w:rsid w:val="00764360"/>
    <w:rsid w:val="00765AFE"/>
    <w:rsid w:val="00765EE8"/>
    <w:rsid w:val="00766F33"/>
    <w:rsid w:val="0076754F"/>
    <w:rsid w:val="00767D37"/>
    <w:rsid w:val="00770809"/>
    <w:rsid w:val="00771245"/>
    <w:rsid w:val="007733DF"/>
    <w:rsid w:val="007765E7"/>
    <w:rsid w:val="00781A2A"/>
    <w:rsid w:val="00781E79"/>
    <w:rsid w:val="00783BF5"/>
    <w:rsid w:val="0079042B"/>
    <w:rsid w:val="007922C1"/>
    <w:rsid w:val="007960A5"/>
    <w:rsid w:val="00797C6C"/>
    <w:rsid w:val="007A0F25"/>
    <w:rsid w:val="007A2010"/>
    <w:rsid w:val="007B5C7C"/>
    <w:rsid w:val="007B601C"/>
    <w:rsid w:val="007B7AB4"/>
    <w:rsid w:val="007B7E91"/>
    <w:rsid w:val="007C0A86"/>
    <w:rsid w:val="007C306E"/>
    <w:rsid w:val="007C4DE9"/>
    <w:rsid w:val="007C67BD"/>
    <w:rsid w:val="007D4985"/>
    <w:rsid w:val="007D57EC"/>
    <w:rsid w:val="007D593A"/>
    <w:rsid w:val="007D65DF"/>
    <w:rsid w:val="007D6702"/>
    <w:rsid w:val="007E2AA3"/>
    <w:rsid w:val="007E6D20"/>
    <w:rsid w:val="007E7816"/>
    <w:rsid w:val="007F1383"/>
    <w:rsid w:val="007F25EF"/>
    <w:rsid w:val="007F3A52"/>
    <w:rsid w:val="007F3B54"/>
    <w:rsid w:val="007F4762"/>
    <w:rsid w:val="007F6326"/>
    <w:rsid w:val="007F6D09"/>
    <w:rsid w:val="008015E9"/>
    <w:rsid w:val="00801DE4"/>
    <w:rsid w:val="00801E5A"/>
    <w:rsid w:val="00803209"/>
    <w:rsid w:val="008050C7"/>
    <w:rsid w:val="00805ED7"/>
    <w:rsid w:val="0081177B"/>
    <w:rsid w:val="00812980"/>
    <w:rsid w:val="00826141"/>
    <w:rsid w:val="00827665"/>
    <w:rsid w:val="00830815"/>
    <w:rsid w:val="008310D5"/>
    <w:rsid w:val="008424B0"/>
    <w:rsid w:val="00842A1C"/>
    <w:rsid w:val="008453F8"/>
    <w:rsid w:val="00847139"/>
    <w:rsid w:val="0085018E"/>
    <w:rsid w:val="00850C71"/>
    <w:rsid w:val="008516FB"/>
    <w:rsid w:val="008534E1"/>
    <w:rsid w:val="00854A5E"/>
    <w:rsid w:val="00855A4C"/>
    <w:rsid w:val="00856D60"/>
    <w:rsid w:val="0085731B"/>
    <w:rsid w:val="0085768E"/>
    <w:rsid w:val="00862D6F"/>
    <w:rsid w:val="00867689"/>
    <w:rsid w:val="008760A8"/>
    <w:rsid w:val="00884753"/>
    <w:rsid w:val="00885CF4"/>
    <w:rsid w:val="00886519"/>
    <w:rsid w:val="008913F1"/>
    <w:rsid w:val="00891F2E"/>
    <w:rsid w:val="00894B3A"/>
    <w:rsid w:val="00897749"/>
    <w:rsid w:val="00897E38"/>
    <w:rsid w:val="008A07D5"/>
    <w:rsid w:val="008A4E06"/>
    <w:rsid w:val="008A601E"/>
    <w:rsid w:val="008B1A08"/>
    <w:rsid w:val="008B2E08"/>
    <w:rsid w:val="008B3FFA"/>
    <w:rsid w:val="008B592E"/>
    <w:rsid w:val="008C084F"/>
    <w:rsid w:val="008C4343"/>
    <w:rsid w:val="008D2A74"/>
    <w:rsid w:val="008D2B81"/>
    <w:rsid w:val="008D5657"/>
    <w:rsid w:val="008D6FDB"/>
    <w:rsid w:val="008E0867"/>
    <w:rsid w:val="008E1326"/>
    <w:rsid w:val="008E51E4"/>
    <w:rsid w:val="008F0F07"/>
    <w:rsid w:val="008F23B1"/>
    <w:rsid w:val="008F2774"/>
    <w:rsid w:val="008F6531"/>
    <w:rsid w:val="009041C5"/>
    <w:rsid w:val="00907158"/>
    <w:rsid w:val="009106E7"/>
    <w:rsid w:val="00911A17"/>
    <w:rsid w:val="00913553"/>
    <w:rsid w:val="009137CD"/>
    <w:rsid w:val="00914112"/>
    <w:rsid w:val="0091779D"/>
    <w:rsid w:val="009201BB"/>
    <w:rsid w:val="0092176A"/>
    <w:rsid w:val="009220A8"/>
    <w:rsid w:val="00923620"/>
    <w:rsid w:val="00925EAF"/>
    <w:rsid w:val="009310CC"/>
    <w:rsid w:val="0093171B"/>
    <w:rsid w:val="00931813"/>
    <w:rsid w:val="00934514"/>
    <w:rsid w:val="00935344"/>
    <w:rsid w:val="00935C57"/>
    <w:rsid w:val="00936094"/>
    <w:rsid w:val="00944EC0"/>
    <w:rsid w:val="009515E5"/>
    <w:rsid w:val="0095670D"/>
    <w:rsid w:val="00961DC9"/>
    <w:rsid w:val="00962C7D"/>
    <w:rsid w:val="009637C5"/>
    <w:rsid w:val="00971418"/>
    <w:rsid w:val="009719CA"/>
    <w:rsid w:val="00973379"/>
    <w:rsid w:val="00973858"/>
    <w:rsid w:val="00982975"/>
    <w:rsid w:val="00982B33"/>
    <w:rsid w:val="00983F11"/>
    <w:rsid w:val="00984A9E"/>
    <w:rsid w:val="00985EA9"/>
    <w:rsid w:val="0098661C"/>
    <w:rsid w:val="00993170"/>
    <w:rsid w:val="009A1A64"/>
    <w:rsid w:val="009A2971"/>
    <w:rsid w:val="009A3D16"/>
    <w:rsid w:val="009A476F"/>
    <w:rsid w:val="009B0DF0"/>
    <w:rsid w:val="009B18F1"/>
    <w:rsid w:val="009B4702"/>
    <w:rsid w:val="009B584F"/>
    <w:rsid w:val="009B5F13"/>
    <w:rsid w:val="009B645A"/>
    <w:rsid w:val="009C0301"/>
    <w:rsid w:val="009C16E4"/>
    <w:rsid w:val="009C3A73"/>
    <w:rsid w:val="009C3E59"/>
    <w:rsid w:val="009C4645"/>
    <w:rsid w:val="009C5BA3"/>
    <w:rsid w:val="009C60C5"/>
    <w:rsid w:val="009C6F40"/>
    <w:rsid w:val="009C75A6"/>
    <w:rsid w:val="009D0985"/>
    <w:rsid w:val="009D0DA7"/>
    <w:rsid w:val="009D1FBF"/>
    <w:rsid w:val="009D36C8"/>
    <w:rsid w:val="009D4A68"/>
    <w:rsid w:val="009D5D2E"/>
    <w:rsid w:val="009D715C"/>
    <w:rsid w:val="009E0627"/>
    <w:rsid w:val="009E2241"/>
    <w:rsid w:val="009E522F"/>
    <w:rsid w:val="009E653D"/>
    <w:rsid w:val="009E7449"/>
    <w:rsid w:val="009F0A0A"/>
    <w:rsid w:val="009F0B59"/>
    <w:rsid w:val="009F2102"/>
    <w:rsid w:val="00A0044F"/>
    <w:rsid w:val="00A0110B"/>
    <w:rsid w:val="00A019DE"/>
    <w:rsid w:val="00A052A4"/>
    <w:rsid w:val="00A05E11"/>
    <w:rsid w:val="00A06DD8"/>
    <w:rsid w:val="00A1123C"/>
    <w:rsid w:val="00A2180B"/>
    <w:rsid w:val="00A21C1A"/>
    <w:rsid w:val="00A227D3"/>
    <w:rsid w:val="00A25650"/>
    <w:rsid w:val="00A31CBD"/>
    <w:rsid w:val="00A323D0"/>
    <w:rsid w:val="00A345AB"/>
    <w:rsid w:val="00A3573F"/>
    <w:rsid w:val="00A37D88"/>
    <w:rsid w:val="00A4016E"/>
    <w:rsid w:val="00A42004"/>
    <w:rsid w:val="00A42560"/>
    <w:rsid w:val="00A42A9B"/>
    <w:rsid w:val="00A47C1D"/>
    <w:rsid w:val="00A50701"/>
    <w:rsid w:val="00A518C9"/>
    <w:rsid w:val="00A52C08"/>
    <w:rsid w:val="00A52D6C"/>
    <w:rsid w:val="00A64666"/>
    <w:rsid w:val="00A659A0"/>
    <w:rsid w:val="00A671D1"/>
    <w:rsid w:val="00A675B7"/>
    <w:rsid w:val="00A67AC3"/>
    <w:rsid w:val="00A71930"/>
    <w:rsid w:val="00A7400D"/>
    <w:rsid w:val="00A76113"/>
    <w:rsid w:val="00A80CB8"/>
    <w:rsid w:val="00A85BE9"/>
    <w:rsid w:val="00A91F24"/>
    <w:rsid w:val="00A92222"/>
    <w:rsid w:val="00A9375F"/>
    <w:rsid w:val="00A945B6"/>
    <w:rsid w:val="00A96310"/>
    <w:rsid w:val="00A96926"/>
    <w:rsid w:val="00AA0EA2"/>
    <w:rsid w:val="00AA14E3"/>
    <w:rsid w:val="00AA2025"/>
    <w:rsid w:val="00AA2B40"/>
    <w:rsid w:val="00AA3E66"/>
    <w:rsid w:val="00AA5851"/>
    <w:rsid w:val="00AA5BCC"/>
    <w:rsid w:val="00AA6E60"/>
    <w:rsid w:val="00AA6FBB"/>
    <w:rsid w:val="00AA7065"/>
    <w:rsid w:val="00AA78C9"/>
    <w:rsid w:val="00AA7C5D"/>
    <w:rsid w:val="00AB044D"/>
    <w:rsid w:val="00AB13FF"/>
    <w:rsid w:val="00AB3031"/>
    <w:rsid w:val="00AB38AF"/>
    <w:rsid w:val="00AC0CF1"/>
    <w:rsid w:val="00AC237F"/>
    <w:rsid w:val="00AC42C5"/>
    <w:rsid w:val="00AC7933"/>
    <w:rsid w:val="00AD09C1"/>
    <w:rsid w:val="00AD24AB"/>
    <w:rsid w:val="00AD48CF"/>
    <w:rsid w:val="00AD693D"/>
    <w:rsid w:val="00AE1121"/>
    <w:rsid w:val="00AE168B"/>
    <w:rsid w:val="00AE740F"/>
    <w:rsid w:val="00AF0E36"/>
    <w:rsid w:val="00AF1175"/>
    <w:rsid w:val="00AF183B"/>
    <w:rsid w:val="00AF30D1"/>
    <w:rsid w:val="00AF4013"/>
    <w:rsid w:val="00AF432C"/>
    <w:rsid w:val="00B01707"/>
    <w:rsid w:val="00B01ABD"/>
    <w:rsid w:val="00B023A7"/>
    <w:rsid w:val="00B036E5"/>
    <w:rsid w:val="00B03D19"/>
    <w:rsid w:val="00B04C54"/>
    <w:rsid w:val="00B057CE"/>
    <w:rsid w:val="00B06B3F"/>
    <w:rsid w:val="00B06B5B"/>
    <w:rsid w:val="00B07129"/>
    <w:rsid w:val="00B07EF4"/>
    <w:rsid w:val="00B107A9"/>
    <w:rsid w:val="00B20E38"/>
    <w:rsid w:val="00B22D82"/>
    <w:rsid w:val="00B23881"/>
    <w:rsid w:val="00B2459F"/>
    <w:rsid w:val="00B25115"/>
    <w:rsid w:val="00B25A76"/>
    <w:rsid w:val="00B26EFD"/>
    <w:rsid w:val="00B30FC9"/>
    <w:rsid w:val="00B36CC7"/>
    <w:rsid w:val="00B40924"/>
    <w:rsid w:val="00B40F98"/>
    <w:rsid w:val="00B42F1D"/>
    <w:rsid w:val="00B43818"/>
    <w:rsid w:val="00B43AA5"/>
    <w:rsid w:val="00B4527C"/>
    <w:rsid w:val="00B468B0"/>
    <w:rsid w:val="00B51F1A"/>
    <w:rsid w:val="00B54CB9"/>
    <w:rsid w:val="00B62713"/>
    <w:rsid w:val="00B62E61"/>
    <w:rsid w:val="00B64015"/>
    <w:rsid w:val="00B70124"/>
    <w:rsid w:val="00B70FE1"/>
    <w:rsid w:val="00B712F7"/>
    <w:rsid w:val="00B752B6"/>
    <w:rsid w:val="00B77AD2"/>
    <w:rsid w:val="00B83BFA"/>
    <w:rsid w:val="00B8463D"/>
    <w:rsid w:val="00B84724"/>
    <w:rsid w:val="00B862FF"/>
    <w:rsid w:val="00B87A75"/>
    <w:rsid w:val="00B90D7D"/>
    <w:rsid w:val="00B91D35"/>
    <w:rsid w:val="00B93F7E"/>
    <w:rsid w:val="00B94855"/>
    <w:rsid w:val="00B9668D"/>
    <w:rsid w:val="00BA1944"/>
    <w:rsid w:val="00BA1B53"/>
    <w:rsid w:val="00BA3001"/>
    <w:rsid w:val="00BA3F1E"/>
    <w:rsid w:val="00BB2AB0"/>
    <w:rsid w:val="00BB5948"/>
    <w:rsid w:val="00BB5ADA"/>
    <w:rsid w:val="00BB5C7F"/>
    <w:rsid w:val="00BB79DB"/>
    <w:rsid w:val="00BB7AD6"/>
    <w:rsid w:val="00BC18DE"/>
    <w:rsid w:val="00BC268D"/>
    <w:rsid w:val="00BC4970"/>
    <w:rsid w:val="00BC4CCC"/>
    <w:rsid w:val="00BC56E5"/>
    <w:rsid w:val="00BC61F0"/>
    <w:rsid w:val="00BC7996"/>
    <w:rsid w:val="00BD05A5"/>
    <w:rsid w:val="00BD12C5"/>
    <w:rsid w:val="00BD2416"/>
    <w:rsid w:val="00BD2676"/>
    <w:rsid w:val="00BD2D8F"/>
    <w:rsid w:val="00BD40B5"/>
    <w:rsid w:val="00BD7071"/>
    <w:rsid w:val="00BD75E4"/>
    <w:rsid w:val="00BE0173"/>
    <w:rsid w:val="00BE1994"/>
    <w:rsid w:val="00BE5815"/>
    <w:rsid w:val="00BE5921"/>
    <w:rsid w:val="00BE714D"/>
    <w:rsid w:val="00BE7A87"/>
    <w:rsid w:val="00BF027A"/>
    <w:rsid w:val="00BF2A45"/>
    <w:rsid w:val="00BF5EAE"/>
    <w:rsid w:val="00BF60B6"/>
    <w:rsid w:val="00C03BF5"/>
    <w:rsid w:val="00C04DE1"/>
    <w:rsid w:val="00C04EC6"/>
    <w:rsid w:val="00C05FA3"/>
    <w:rsid w:val="00C07B7C"/>
    <w:rsid w:val="00C07D77"/>
    <w:rsid w:val="00C122EE"/>
    <w:rsid w:val="00C13D56"/>
    <w:rsid w:val="00C13FFD"/>
    <w:rsid w:val="00C20846"/>
    <w:rsid w:val="00C24962"/>
    <w:rsid w:val="00C32847"/>
    <w:rsid w:val="00C331DC"/>
    <w:rsid w:val="00C338BC"/>
    <w:rsid w:val="00C353DA"/>
    <w:rsid w:val="00C41BAD"/>
    <w:rsid w:val="00C432D4"/>
    <w:rsid w:val="00C438D0"/>
    <w:rsid w:val="00C470DE"/>
    <w:rsid w:val="00C47192"/>
    <w:rsid w:val="00C47D53"/>
    <w:rsid w:val="00C510B3"/>
    <w:rsid w:val="00C565A0"/>
    <w:rsid w:val="00C56827"/>
    <w:rsid w:val="00C60121"/>
    <w:rsid w:val="00C6073C"/>
    <w:rsid w:val="00C612BD"/>
    <w:rsid w:val="00C61637"/>
    <w:rsid w:val="00C62ACF"/>
    <w:rsid w:val="00C6343C"/>
    <w:rsid w:val="00C64B05"/>
    <w:rsid w:val="00C71156"/>
    <w:rsid w:val="00C75A27"/>
    <w:rsid w:val="00C806F9"/>
    <w:rsid w:val="00C81DF8"/>
    <w:rsid w:val="00C82281"/>
    <w:rsid w:val="00C82C52"/>
    <w:rsid w:val="00C9029D"/>
    <w:rsid w:val="00C906BD"/>
    <w:rsid w:val="00C91A6F"/>
    <w:rsid w:val="00C92C6F"/>
    <w:rsid w:val="00C9302A"/>
    <w:rsid w:val="00C9337A"/>
    <w:rsid w:val="00C9514F"/>
    <w:rsid w:val="00C95C4E"/>
    <w:rsid w:val="00C963D3"/>
    <w:rsid w:val="00C96DA4"/>
    <w:rsid w:val="00C96E58"/>
    <w:rsid w:val="00CA12BA"/>
    <w:rsid w:val="00CA306E"/>
    <w:rsid w:val="00CA41CC"/>
    <w:rsid w:val="00CA682E"/>
    <w:rsid w:val="00CA7125"/>
    <w:rsid w:val="00CB136A"/>
    <w:rsid w:val="00CB2045"/>
    <w:rsid w:val="00CB3848"/>
    <w:rsid w:val="00CB42D8"/>
    <w:rsid w:val="00CB4F28"/>
    <w:rsid w:val="00CC00F6"/>
    <w:rsid w:val="00CC287E"/>
    <w:rsid w:val="00CC7527"/>
    <w:rsid w:val="00CD7625"/>
    <w:rsid w:val="00CE312E"/>
    <w:rsid w:val="00CE4268"/>
    <w:rsid w:val="00CE4BAA"/>
    <w:rsid w:val="00CF11D1"/>
    <w:rsid w:val="00CF1622"/>
    <w:rsid w:val="00CF3551"/>
    <w:rsid w:val="00CF69D1"/>
    <w:rsid w:val="00D000EB"/>
    <w:rsid w:val="00D00245"/>
    <w:rsid w:val="00D01128"/>
    <w:rsid w:val="00D02F99"/>
    <w:rsid w:val="00D043A7"/>
    <w:rsid w:val="00D050F9"/>
    <w:rsid w:val="00D10017"/>
    <w:rsid w:val="00D10128"/>
    <w:rsid w:val="00D10709"/>
    <w:rsid w:val="00D12463"/>
    <w:rsid w:val="00D139AF"/>
    <w:rsid w:val="00D15002"/>
    <w:rsid w:val="00D16C74"/>
    <w:rsid w:val="00D20D07"/>
    <w:rsid w:val="00D2208E"/>
    <w:rsid w:val="00D22A8B"/>
    <w:rsid w:val="00D22B13"/>
    <w:rsid w:val="00D22E07"/>
    <w:rsid w:val="00D240B2"/>
    <w:rsid w:val="00D25213"/>
    <w:rsid w:val="00D253E1"/>
    <w:rsid w:val="00D257E6"/>
    <w:rsid w:val="00D257EE"/>
    <w:rsid w:val="00D26BB2"/>
    <w:rsid w:val="00D26C27"/>
    <w:rsid w:val="00D27164"/>
    <w:rsid w:val="00D2775E"/>
    <w:rsid w:val="00D31280"/>
    <w:rsid w:val="00D36005"/>
    <w:rsid w:val="00D36CCB"/>
    <w:rsid w:val="00D37E7D"/>
    <w:rsid w:val="00D442D3"/>
    <w:rsid w:val="00D465D9"/>
    <w:rsid w:val="00D52E2D"/>
    <w:rsid w:val="00D52E30"/>
    <w:rsid w:val="00D54DF8"/>
    <w:rsid w:val="00D55432"/>
    <w:rsid w:val="00D57122"/>
    <w:rsid w:val="00D57DBC"/>
    <w:rsid w:val="00D62885"/>
    <w:rsid w:val="00D63495"/>
    <w:rsid w:val="00D63A42"/>
    <w:rsid w:val="00D65302"/>
    <w:rsid w:val="00D65A20"/>
    <w:rsid w:val="00D66A8E"/>
    <w:rsid w:val="00D70C7C"/>
    <w:rsid w:val="00D7163A"/>
    <w:rsid w:val="00D72363"/>
    <w:rsid w:val="00D724B4"/>
    <w:rsid w:val="00D72E12"/>
    <w:rsid w:val="00D762B3"/>
    <w:rsid w:val="00D76EEE"/>
    <w:rsid w:val="00D776C3"/>
    <w:rsid w:val="00D80248"/>
    <w:rsid w:val="00D80BC9"/>
    <w:rsid w:val="00D81A9B"/>
    <w:rsid w:val="00D82052"/>
    <w:rsid w:val="00D834FC"/>
    <w:rsid w:val="00D90434"/>
    <w:rsid w:val="00D91963"/>
    <w:rsid w:val="00D92350"/>
    <w:rsid w:val="00D941C7"/>
    <w:rsid w:val="00D95079"/>
    <w:rsid w:val="00DA14A3"/>
    <w:rsid w:val="00DA32F7"/>
    <w:rsid w:val="00DA33A1"/>
    <w:rsid w:val="00DA422E"/>
    <w:rsid w:val="00DB0C85"/>
    <w:rsid w:val="00DB2762"/>
    <w:rsid w:val="00DB5525"/>
    <w:rsid w:val="00DB607F"/>
    <w:rsid w:val="00DB668D"/>
    <w:rsid w:val="00DB72DB"/>
    <w:rsid w:val="00DB7BC6"/>
    <w:rsid w:val="00DC006D"/>
    <w:rsid w:val="00DC0277"/>
    <w:rsid w:val="00DC3038"/>
    <w:rsid w:val="00DC3537"/>
    <w:rsid w:val="00DC5892"/>
    <w:rsid w:val="00DC5CFE"/>
    <w:rsid w:val="00DC66EB"/>
    <w:rsid w:val="00DC7AB1"/>
    <w:rsid w:val="00DD0B08"/>
    <w:rsid w:val="00DD2722"/>
    <w:rsid w:val="00DD2C6A"/>
    <w:rsid w:val="00DD2CDF"/>
    <w:rsid w:val="00DD6D98"/>
    <w:rsid w:val="00DE0D89"/>
    <w:rsid w:val="00DE2C28"/>
    <w:rsid w:val="00DE3C00"/>
    <w:rsid w:val="00DE422F"/>
    <w:rsid w:val="00DE755F"/>
    <w:rsid w:val="00DE75CE"/>
    <w:rsid w:val="00DE7BE6"/>
    <w:rsid w:val="00DF092A"/>
    <w:rsid w:val="00DF47E3"/>
    <w:rsid w:val="00DF4EA2"/>
    <w:rsid w:val="00DF6E06"/>
    <w:rsid w:val="00DF7AA3"/>
    <w:rsid w:val="00DF7C19"/>
    <w:rsid w:val="00E00B7D"/>
    <w:rsid w:val="00E02FBC"/>
    <w:rsid w:val="00E03A8E"/>
    <w:rsid w:val="00E06F5E"/>
    <w:rsid w:val="00E070FE"/>
    <w:rsid w:val="00E1093B"/>
    <w:rsid w:val="00E116B6"/>
    <w:rsid w:val="00E12373"/>
    <w:rsid w:val="00E12C35"/>
    <w:rsid w:val="00E12E07"/>
    <w:rsid w:val="00E159E3"/>
    <w:rsid w:val="00E22FE1"/>
    <w:rsid w:val="00E23BF3"/>
    <w:rsid w:val="00E24C41"/>
    <w:rsid w:val="00E24E89"/>
    <w:rsid w:val="00E32C09"/>
    <w:rsid w:val="00E335FB"/>
    <w:rsid w:val="00E33D15"/>
    <w:rsid w:val="00E34075"/>
    <w:rsid w:val="00E34D10"/>
    <w:rsid w:val="00E37995"/>
    <w:rsid w:val="00E40814"/>
    <w:rsid w:val="00E40DC5"/>
    <w:rsid w:val="00E44996"/>
    <w:rsid w:val="00E45C73"/>
    <w:rsid w:val="00E45F5B"/>
    <w:rsid w:val="00E5044C"/>
    <w:rsid w:val="00E50A8D"/>
    <w:rsid w:val="00E532AB"/>
    <w:rsid w:val="00E53C9B"/>
    <w:rsid w:val="00E56DE5"/>
    <w:rsid w:val="00E57030"/>
    <w:rsid w:val="00E60E3F"/>
    <w:rsid w:val="00E6264E"/>
    <w:rsid w:val="00E63B10"/>
    <w:rsid w:val="00E64837"/>
    <w:rsid w:val="00E675CB"/>
    <w:rsid w:val="00E70F44"/>
    <w:rsid w:val="00E71B76"/>
    <w:rsid w:val="00E72DB6"/>
    <w:rsid w:val="00E77FF4"/>
    <w:rsid w:val="00E80A42"/>
    <w:rsid w:val="00E845D4"/>
    <w:rsid w:val="00E84651"/>
    <w:rsid w:val="00E86461"/>
    <w:rsid w:val="00E90FD5"/>
    <w:rsid w:val="00E91DF5"/>
    <w:rsid w:val="00E91EE3"/>
    <w:rsid w:val="00E926F7"/>
    <w:rsid w:val="00E93D15"/>
    <w:rsid w:val="00E944B8"/>
    <w:rsid w:val="00E96C04"/>
    <w:rsid w:val="00EA00C9"/>
    <w:rsid w:val="00EA0F0F"/>
    <w:rsid w:val="00EA34DC"/>
    <w:rsid w:val="00EA3E63"/>
    <w:rsid w:val="00EA436A"/>
    <w:rsid w:val="00EA6E9E"/>
    <w:rsid w:val="00EA79A3"/>
    <w:rsid w:val="00EB05A3"/>
    <w:rsid w:val="00EB4BDB"/>
    <w:rsid w:val="00EB7E82"/>
    <w:rsid w:val="00EC5031"/>
    <w:rsid w:val="00EC5F25"/>
    <w:rsid w:val="00EC6552"/>
    <w:rsid w:val="00ED13BB"/>
    <w:rsid w:val="00ED1820"/>
    <w:rsid w:val="00ED1E9E"/>
    <w:rsid w:val="00ED3AA7"/>
    <w:rsid w:val="00ED5D41"/>
    <w:rsid w:val="00EE0B54"/>
    <w:rsid w:val="00EE17E3"/>
    <w:rsid w:val="00EE1A9E"/>
    <w:rsid w:val="00EE1FF4"/>
    <w:rsid w:val="00EE5673"/>
    <w:rsid w:val="00EE69DE"/>
    <w:rsid w:val="00EF0C73"/>
    <w:rsid w:val="00EF57BC"/>
    <w:rsid w:val="00EF6074"/>
    <w:rsid w:val="00EF60AB"/>
    <w:rsid w:val="00F01E0F"/>
    <w:rsid w:val="00F11A65"/>
    <w:rsid w:val="00F11B93"/>
    <w:rsid w:val="00F150E5"/>
    <w:rsid w:val="00F15278"/>
    <w:rsid w:val="00F174A9"/>
    <w:rsid w:val="00F176CC"/>
    <w:rsid w:val="00F245F2"/>
    <w:rsid w:val="00F247C7"/>
    <w:rsid w:val="00F26024"/>
    <w:rsid w:val="00F26F93"/>
    <w:rsid w:val="00F31168"/>
    <w:rsid w:val="00F312E6"/>
    <w:rsid w:val="00F31BC9"/>
    <w:rsid w:val="00F327E2"/>
    <w:rsid w:val="00F3681F"/>
    <w:rsid w:val="00F37106"/>
    <w:rsid w:val="00F37E72"/>
    <w:rsid w:val="00F4230A"/>
    <w:rsid w:val="00F46F9C"/>
    <w:rsid w:val="00F5126F"/>
    <w:rsid w:val="00F52305"/>
    <w:rsid w:val="00F525F7"/>
    <w:rsid w:val="00F56FD9"/>
    <w:rsid w:val="00F619CD"/>
    <w:rsid w:val="00F67BD8"/>
    <w:rsid w:val="00F67F4D"/>
    <w:rsid w:val="00F743E7"/>
    <w:rsid w:val="00F83C7F"/>
    <w:rsid w:val="00F850B3"/>
    <w:rsid w:val="00F900C7"/>
    <w:rsid w:val="00F901C3"/>
    <w:rsid w:val="00F95937"/>
    <w:rsid w:val="00F96BA9"/>
    <w:rsid w:val="00F97313"/>
    <w:rsid w:val="00FA1991"/>
    <w:rsid w:val="00FA1C52"/>
    <w:rsid w:val="00FA2232"/>
    <w:rsid w:val="00FA3388"/>
    <w:rsid w:val="00FA3E52"/>
    <w:rsid w:val="00FA4D44"/>
    <w:rsid w:val="00FA71CD"/>
    <w:rsid w:val="00FB0255"/>
    <w:rsid w:val="00FB2495"/>
    <w:rsid w:val="00FB2A89"/>
    <w:rsid w:val="00FB31C2"/>
    <w:rsid w:val="00FB57CA"/>
    <w:rsid w:val="00FC342A"/>
    <w:rsid w:val="00FC4FC9"/>
    <w:rsid w:val="00FD1501"/>
    <w:rsid w:val="00FD5C63"/>
    <w:rsid w:val="00FE2844"/>
    <w:rsid w:val="00FE318C"/>
    <w:rsid w:val="00FE445B"/>
    <w:rsid w:val="00FE4DD7"/>
    <w:rsid w:val="00FE4FA6"/>
    <w:rsid w:val="00FE63A5"/>
    <w:rsid w:val="00FE74E8"/>
    <w:rsid w:val="00FE7D39"/>
    <w:rsid w:val="00FF2511"/>
    <w:rsid w:val="00FF3D27"/>
    <w:rsid w:val="00FF4284"/>
    <w:rsid w:val="010DC179"/>
    <w:rsid w:val="02532D9F"/>
    <w:rsid w:val="03D624AA"/>
    <w:rsid w:val="045728E3"/>
    <w:rsid w:val="09117E6A"/>
    <w:rsid w:val="0B023E3C"/>
    <w:rsid w:val="0E59727C"/>
    <w:rsid w:val="0FF73364"/>
    <w:rsid w:val="1164EB17"/>
    <w:rsid w:val="1640592B"/>
    <w:rsid w:val="174187E9"/>
    <w:rsid w:val="1D5478F1"/>
    <w:rsid w:val="1EF45122"/>
    <w:rsid w:val="204BBBD9"/>
    <w:rsid w:val="226E68FA"/>
    <w:rsid w:val="26D3EA15"/>
    <w:rsid w:val="2A574BB4"/>
    <w:rsid w:val="2ADA28E3"/>
    <w:rsid w:val="2BB5D094"/>
    <w:rsid w:val="2E0295DA"/>
    <w:rsid w:val="2F42EF23"/>
    <w:rsid w:val="2FA620F0"/>
    <w:rsid w:val="351EBF8C"/>
    <w:rsid w:val="3F590D61"/>
    <w:rsid w:val="40742EC3"/>
    <w:rsid w:val="40DD9CA7"/>
    <w:rsid w:val="4414A5F1"/>
    <w:rsid w:val="44BC46CD"/>
    <w:rsid w:val="44EF9BD3"/>
    <w:rsid w:val="45FAE64C"/>
    <w:rsid w:val="490FE044"/>
    <w:rsid w:val="4945845E"/>
    <w:rsid w:val="5311F673"/>
    <w:rsid w:val="54C2C636"/>
    <w:rsid w:val="55E67D4E"/>
    <w:rsid w:val="594EB544"/>
    <w:rsid w:val="5970C897"/>
    <w:rsid w:val="5B4689B9"/>
    <w:rsid w:val="5CCB7F47"/>
    <w:rsid w:val="5D7DBC34"/>
    <w:rsid w:val="5F1DBBFE"/>
    <w:rsid w:val="646C018C"/>
    <w:rsid w:val="6682AD7A"/>
    <w:rsid w:val="66C27867"/>
    <w:rsid w:val="6A07A35E"/>
    <w:rsid w:val="6D76DF74"/>
    <w:rsid w:val="70D27F6A"/>
    <w:rsid w:val="72402449"/>
    <w:rsid w:val="72CBD4D0"/>
    <w:rsid w:val="753901F3"/>
    <w:rsid w:val="754FCC70"/>
    <w:rsid w:val="77AD39C4"/>
    <w:rsid w:val="7A572B81"/>
    <w:rsid w:val="7C02A60A"/>
    <w:rsid w:val="7C13477C"/>
    <w:rsid w:val="7CD849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A1CB89"/>
  <w15:docId w15:val="{052B2204-1503-4AFD-B0E7-EAEFABDBD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267"/>
      <w:outlineLvl w:val="0"/>
    </w:pPr>
    <w:rPr>
      <w:rFonts w:ascii="Times New Roman" w:eastAsia="Times New Roman" w:hAnsi="Times New Roman"/>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7"/>
    </w:pPr>
    <w:rPr>
      <w:rFonts w:ascii="Times New Roman" w:eastAsia="Times New Roman" w:hAnsi="Times New Roman"/>
      <w:sz w:val="25"/>
      <w:szCs w:val="25"/>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96A4D"/>
    <w:rPr>
      <w:rFonts w:ascii="Tahoma" w:hAnsi="Tahoma" w:cs="Tahoma"/>
      <w:sz w:val="16"/>
      <w:szCs w:val="16"/>
    </w:rPr>
  </w:style>
  <w:style w:type="character" w:customStyle="1" w:styleId="BalloonTextChar">
    <w:name w:val="Balloon Text Char"/>
    <w:basedOn w:val="DefaultParagraphFont"/>
    <w:link w:val="BalloonText"/>
    <w:uiPriority w:val="99"/>
    <w:semiHidden/>
    <w:rsid w:val="00196A4D"/>
    <w:rPr>
      <w:rFonts w:ascii="Tahoma" w:hAnsi="Tahoma" w:cs="Tahoma"/>
      <w:sz w:val="16"/>
      <w:szCs w:val="16"/>
    </w:rPr>
  </w:style>
  <w:style w:type="character" w:styleId="CommentReference">
    <w:name w:val="annotation reference"/>
    <w:basedOn w:val="DefaultParagraphFont"/>
    <w:uiPriority w:val="99"/>
    <w:semiHidden/>
    <w:unhideWhenUsed/>
    <w:rsid w:val="007D6702"/>
    <w:rPr>
      <w:sz w:val="16"/>
      <w:szCs w:val="16"/>
    </w:rPr>
  </w:style>
  <w:style w:type="paragraph" w:styleId="CommentText">
    <w:name w:val="annotation text"/>
    <w:basedOn w:val="Normal"/>
    <w:link w:val="CommentTextChar"/>
    <w:uiPriority w:val="99"/>
    <w:semiHidden/>
    <w:unhideWhenUsed/>
    <w:rsid w:val="007D6702"/>
    <w:rPr>
      <w:sz w:val="20"/>
      <w:szCs w:val="20"/>
    </w:rPr>
  </w:style>
  <w:style w:type="character" w:customStyle="1" w:styleId="CommentTextChar">
    <w:name w:val="Comment Text Char"/>
    <w:basedOn w:val="DefaultParagraphFont"/>
    <w:link w:val="CommentText"/>
    <w:uiPriority w:val="99"/>
    <w:semiHidden/>
    <w:rsid w:val="007D6702"/>
    <w:rPr>
      <w:sz w:val="20"/>
      <w:szCs w:val="20"/>
    </w:rPr>
  </w:style>
  <w:style w:type="paragraph" w:styleId="CommentSubject">
    <w:name w:val="annotation subject"/>
    <w:basedOn w:val="CommentText"/>
    <w:next w:val="CommentText"/>
    <w:link w:val="CommentSubjectChar"/>
    <w:uiPriority w:val="99"/>
    <w:semiHidden/>
    <w:unhideWhenUsed/>
    <w:rsid w:val="007D6702"/>
    <w:rPr>
      <w:b/>
      <w:bCs/>
    </w:rPr>
  </w:style>
  <w:style w:type="character" w:customStyle="1" w:styleId="CommentSubjectChar">
    <w:name w:val="Comment Subject Char"/>
    <w:basedOn w:val="CommentTextChar"/>
    <w:link w:val="CommentSubject"/>
    <w:uiPriority w:val="99"/>
    <w:semiHidden/>
    <w:rsid w:val="007D6702"/>
    <w:rPr>
      <w:b/>
      <w:bCs/>
      <w:sz w:val="20"/>
      <w:szCs w:val="20"/>
    </w:rPr>
  </w:style>
  <w:style w:type="paragraph" w:styleId="NormalWeb">
    <w:name w:val="Normal (Web)"/>
    <w:basedOn w:val="Normal"/>
    <w:uiPriority w:val="99"/>
    <w:semiHidden/>
    <w:unhideWhenUsed/>
    <w:rsid w:val="00C04EC6"/>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549C"/>
    <w:pPr>
      <w:tabs>
        <w:tab w:val="center" w:pos="4680"/>
        <w:tab w:val="right" w:pos="9360"/>
      </w:tabs>
    </w:pPr>
  </w:style>
  <w:style w:type="character" w:customStyle="1" w:styleId="HeaderChar">
    <w:name w:val="Header Char"/>
    <w:basedOn w:val="DefaultParagraphFont"/>
    <w:link w:val="Header"/>
    <w:uiPriority w:val="99"/>
    <w:rsid w:val="0014549C"/>
  </w:style>
  <w:style w:type="paragraph" w:styleId="Footer">
    <w:name w:val="footer"/>
    <w:basedOn w:val="Normal"/>
    <w:link w:val="FooterChar"/>
    <w:uiPriority w:val="99"/>
    <w:unhideWhenUsed/>
    <w:rsid w:val="0014549C"/>
    <w:pPr>
      <w:tabs>
        <w:tab w:val="center" w:pos="4680"/>
        <w:tab w:val="right" w:pos="9360"/>
      </w:tabs>
    </w:pPr>
  </w:style>
  <w:style w:type="character" w:customStyle="1" w:styleId="FooterChar">
    <w:name w:val="Footer Char"/>
    <w:basedOn w:val="DefaultParagraphFont"/>
    <w:link w:val="Footer"/>
    <w:uiPriority w:val="99"/>
    <w:rsid w:val="0014549C"/>
  </w:style>
  <w:style w:type="character" w:customStyle="1" w:styleId="moduletitletext">
    <w:name w:val="moduletitletext"/>
    <w:basedOn w:val="DefaultParagraphFont"/>
    <w:rsid w:val="00697301"/>
  </w:style>
  <w:style w:type="character" w:styleId="Hyperlink">
    <w:name w:val="Hyperlink"/>
    <w:basedOn w:val="DefaultParagraphFont"/>
    <w:uiPriority w:val="99"/>
    <w:unhideWhenUsed/>
    <w:rsid w:val="00BF60B6"/>
    <w:rPr>
      <w:color w:val="0000FF" w:themeColor="hyperlink"/>
      <w:u w:val="single"/>
    </w:rPr>
  </w:style>
  <w:style w:type="character" w:styleId="FollowedHyperlink">
    <w:name w:val="FollowedHyperlink"/>
    <w:basedOn w:val="DefaultParagraphFont"/>
    <w:uiPriority w:val="99"/>
    <w:semiHidden/>
    <w:unhideWhenUsed/>
    <w:rsid w:val="006B02EA"/>
    <w:rPr>
      <w:color w:val="800080" w:themeColor="followedHyperlink"/>
      <w:u w:val="single"/>
    </w:rPr>
  </w:style>
  <w:style w:type="character" w:styleId="UnresolvedMention">
    <w:name w:val="Unresolved Mention"/>
    <w:basedOn w:val="DefaultParagraphFont"/>
    <w:uiPriority w:val="99"/>
    <w:unhideWhenUsed/>
    <w:rsid w:val="00944EC0"/>
    <w:rPr>
      <w:color w:val="605E5C"/>
      <w:shd w:val="clear" w:color="auto" w:fill="E1DFDD"/>
    </w:rPr>
  </w:style>
  <w:style w:type="character" w:customStyle="1" w:styleId="Heading1Char">
    <w:name w:val="Heading 1 Char"/>
    <w:basedOn w:val="DefaultParagraphFont"/>
    <w:link w:val="Heading1"/>
    <w:uiPriority w:val="1"/>
    <w:rsid w:val="003553E6"/>
    <w:rPr>
      <w:rFonts w:ascii="Times New Roman" w:eastAsia="Times New Roman" w:hAnsi="Times New Roman"/>
      <w:b/>
      <w:bCs/>
      <w:sz w:val="38"/>
      <w:szCs w:val="38"/>
    </w:rPr>
  </w:style>
  <w:style w:type="paragraph" w:styleId="Revision">
    <w:name w:val="Revision"/>
    <w:hidden/>
    <w:uiPriority w:val="99"/>
    <w:semiHidden/>
    <w:rsid w:val="00E53C9B"/>
    <w:pPr>
      <w:widowControl/>
    </w:pPr>
  </w:style>
  <w:style w:type="character" w:customStyle="1" w:styleId="docsum-authors">
    <w:name w:val="docsum-authors"/>
    <w:basedOn w:val="DefaultParagraphFont"/>
    <w:rsid w:val="00220E0B"/>
  </w:style>
  <w:style w:type="character" w:customStyle="1" w:styleId="docsum-journal-citation">
    <w:name w:val="docsum-journal-citation"/>
    <w:basedOn w:val="DefaultParagraphFont"/>
    <w:rsid w:val="00220E0B"/>
  </w:style>
  <w:style w:type="character" w:customStyle="1" w:styleId="period">
    <w:name w:val="period"/>
    <w:basedOn w:val="DefaultParagraphFont"/>
    <w:rsid w:val="001B095D"/>
  </w:style>
  <w:style w:type="character" w:customStyle="1" w:styleId="cit">
    <w:name w:val="cit"/>
    <w:basedOn w:val="DefaultParagraphFont"/>
    <w:rsid w:val="001B095D"/>
  </w:style>
  <w:style w:type="character" w:customStyle="1" w:styleId="citation-doi">
    <w:name w:val="citation-doi"/>
    <w:basedOn w:val="DefaultParagraphFont"/>
    <w:rsid w:val="001B095D"/>
  </w:style>
  <w:style w:type="character" w:customStyle="1" w:styleId="secondary-date">
    <w:name w:val="secondary-date"/>
    <w:basedOn w:val="DefaultParagraphFont"/>
    <w:rsid w:val="001B095D"/>
  </w:style>
  <w:style w:type="character" w:customStyle="1" w:styleId="authors-list-item">
    <w:name w:val="authors-list-item"/>
    <w:basedOn w:val="DefaultParagraphFont"/>
    <w:rsid w:val="001B095D"/>
  </w:style>
  <w:style w:type="character" w:customStyle="1" w:styleId="author-sup-separator">
    <w:name w:val="author-sup-separator"/>
    <w:basedOn w:val="DefaultParagraphFont"/>
    <w:rsid w:val="001B095D"/>
  </w:style>
  <w:style w:type="character" w:customStyle="1" w:styleId="comma">
    <w:name w:val="comma"/>
    <w:basedOn w:val="DefaultParagraphFont"/>
    <w:rsid w:val="001B095D"/>
  </w:style>
  <w:style w:type="character" w:customStyle="1" w:styleId="Title1">
    <w:name w:val="Title1"/>
    <w:basedOn w:val="DefaultParagraphFont"/>
    <w:rsid w:val="001B095D"/>
  </w:style>
  <w:style w:type="character" w:customStyle="1" w:styleId="identifier">
    <w:name w:val="identifier"/>
    <w:basedOn w:val="DefaultParagraphFont"/>
    <w:rsid w:val="001B095D"/>
  </w:style>
  <w:style w:type="character" w:customStyle="1" w:styleId="id-label">
    <w:name w:val="id-label"/>
    <w:basedOn w:val="DefaultParagraphFont"/>
    <w:rsid w:val="001B095D"/>
  </w:style>
  <w:style w:type="character" w:styleId="Strong">
    <w:name w:val="Strong"/>
    <w:basedOn w:val="DefaultParagraphFont"/>
    <w:uiPriority w:val="22"/>
    <w:qFormat/>
    <w:rsid w:val="001B095D"/>
    <w:rPr>
      <w:b/>
      <w:bCs/>
    </w:rPr>
  </w:style>
  <w:style w:type="character" w:customStyle="1" w:styleId="normaltextrun">
    <w:name w:val="normaltextrun"/>
    <w:rsid w:val="002E6CAD"/>
  </w:style>
  <w:style w:type="paragraph" w:customStyle="1" w:styleId="Paragraph">
    <w:name w:val="Paragraph"/>
    <w:link w:val="ParagraphChar"/>
    <w:qFormat/>
    <w:rsid w:val="002E6CAD"/>
    <w:pPr>
      <w:widowControl/>
      <w:spacing w:after="240"/>
    </w:pPr>
    <w:rPr>
      <w:rFonts w:ascii="Times New Roman" w:eastAsia="Times New Roman" w:hAnsi="Times New Roman" w:cs="Times New Roman"/>
      <w:sz w:val="24"/>
      <w:szCs w:val="24"/>
    </w:rPr>
  </w:style>
  <w:style w:type="character" w:customStyle="1" w:styleId="ParagraphChar">
    <w:name w:val="Paragraph Char"/>
    <w:link w:val="Paragraph"/>
    <w:rsid w:val="002E6CAD"/>
    <w:rPr>
      <w:rFonts w:ascii="Times New Roman" w:eastAsia="Times New Roman" w:hAnsi="Times New Roman" w:cs="Times New Roman"/>
      <w:sz w:val="24"/>
      <w:szCs w:val="24"/>
    </w:rPr>
  </w:style>
  <w:style w:type="character" w:customStyle="1" w:styleId="Instructions">
    <w:name w:val="Instructions"/>
    <w:rsid w:val="002E6CAD"/>
    <w:rPr>
      <w:i/>
      <w:iCs/>
      <w:color w:val="008000"/>
    </w:rPr>
  </w:style>
  <w:style w:type="paragraph" w:styleId="ListNumber">
    <w:name w:val="List Number"/>
    <w:rsid w:val="001E1852"/>
    <w:pPr>
      <w:widowControl/>
      <w:numPr>
        <w:numId w:val="12"/>
      </w:numPr>
      <w:spacing w:after="240"/>
    </w:pPr>
    <w:rPr>
      <w:rFonts w:ascii="Times New Roman" w:eastAsiaTheme="minorEastAsia" w:hAnsi="Times New Roman" w:cs="Times New Roman"/>
      <w:sz w:val="24"/>
      <w:szCs w:val="24"/>
    </w:rPr>
  </w:style>
  <w:style w:type="character" w:styleId="Mention">
    <w:name w:val="Mention"/>
    <w:basedOn w:val="DefaultParagraphFont"/>
    <w:uiPriority w:val="99"/>
    <w:unhideWhenUsed/>
    <w:rsid w:val="00DE2C2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5927">
      <w:bodyDiv w:val="1"/>
      <w:marLeft w:val="0"/>
      <w:marRight w:val="0"/>
      <w:marTop w:val="0"/>
      <w:marBottom w:val="0"/>
      <w:divBdr>
        <w:top w:val="none" w:sz="0" w:space="0" w:color="auto"/>
        <w:left w:val="none" w:sz="0" w:space="0" w:color="auto"/>
        <w:bottom w:val="none" w:sz="0" w:space="0" w:color="auto"/>
        <w:right w:val="none" w:sz="0" w:space="0" w:color="auto"/>
      </w:divBdr>
      <w:divsChild>
        <w:div w:id="406028100">
          <w:marLeft w:val="0"/>
          <w:marRight w:val="0"/>
          <w:marTop w:val="0"/>
          <w:marBottom w:val="0"/>
          <w:divBdr>
            <w:top w:val="none" w:sz="0" w:space="0" w:color="auto"/>
            <w:left w:val="none" w:sz="0" w:space="0" w:color="auto"/>
            <w:bottom w:val="none" w:sz="0" w:space="0" w:color="auto"/>
            <w:right w:val="none" w:sz="0" w:space="0" w:color="auto"/>
          </w:divBdr>
          <w:divsChild>
            <w:div w:id="1788313486">
              <w:marLeft w:val="0"/>
              <w:marRight w:val="0"/>
              <w:marTop w:val="0"/>
              <w:marBottom w:val="0"/>
              <w:divBdr>
                <w:top w:val="none" w:sz="0" w:space="0" w:color="auto"/>
                <w:left w:val="none" w:sz="0" w:space="0" w:color="auto"/>
                <w:bottom w:val="none" w:sz="0" w:space="0" w:color="auto"/>
                <w:right w:val="none" w:sz="0" w:space="0" w:color="auto"/>
              </w:divBdr>
              <w:divsChild>
                <w:div w:id="20237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72359">
          <w:marLeft w:val="0"/>
          <w:marRight w:val="0"/>
          <w:marTop w:val="0"/>
          <w:marBottom w:val="0"/>
          <w:divBdr>
            <w:top w:val="none" w:sz="0" w:space="0" w:color="auto"/>
            <w:left w:val="none" w:sz="0" w:space="0" w:color="auto"/>
            <w:bottom w:val="none" w:sz="0" w:space="0" w:color="auto"/>
            <w:right w:val="none" w:sz="0" w:space="0" w:color="auto"/>
          </w:divBdr>
          <w:divsChild>
            <w:div w:id="1295865535">
              <w:marLeft w:val="0"/>
              <w:marRight w:val="0"/>
              <w:marTop w:val="0"/>
              <w:marBottom w:val="0"/>
              <w:divBdr>
                <w:top w:val="none" w:sz="0" w:space="0" w:color="auto"/>
                <w:left w:val="none" w:sz="0" w:space="0" w:color="auto"/>
                <w:bottom w:val="none" w:sz="0" w:space="0" w:color="auto"/>
                <w:right w:val="none" w:sz="0" w:space="0" w:color="auto"/>
              </w:divBdr>
              <w:divsChild>
                <w:div w:id="1068696084">
                  <w:marLeft w:val="0"/>
                  <w:marRight w:val="0"/>
                  <w:marTop w:val="0"/>
                  <w:marBottom w:val="0"/>
                  <w:divBdr>
                    <w:top w:val="none" w:sz="0" w:space="0" w:color="auto"/>
                    <w:left w:val="none" w:sz="0" w:space="0" w:color="auto"/>
                    <w:bottom w:val="none" w:sz="0" w:space="0" w:color="auto"/>
                    <w:right w:val="none" w:sz="0" w:space="0" w:color="auto"/>
                  </w:divBdr>
                  <w:divsChild>
                    <w:div w:id="96181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463873">
      <w:bodyDiv w:val="1"/>
      <w:marLeft w:val="0"/>
      <w:marRight w:val="0"/>
      <w:marTop w:val="0"/>
      <w:marBottom w:val="0"/>
      <w:divBdr>
        <w:top w:val="none" w:sz="0" w:space="0" w:color="auto"/>
        <w:left w:val="none" w:sz="0" w:space="0" w:color="auto"/>
        <w:bottom w:val="none" w:sz="0" w:space="0" w:color="auto"/>
        <w:right w:val="none" w:sz="0" w:space="0" w:color="auto"/>
      </w:divBdr>
    </w:div>
    <w:div w:id="300110307">
      <w:bodyDiv w:val="1"/>
      <w:marLeft w:val="0"/>
      <w:marRight w:val="0"/>
      <w:marTop w:val="0"/>
      <w:marBottom w:val="0"/>
      <w:divBdr>
        <w:top w:val="none" w:sz="0" w:space="0" w:color="auto"/>
        <w:left w:val="none" w:sz="0" w:space="0" w:color="auto"/>
        <w:bottom w:val="none" w:sz="0" w:space="0" w:color="auto"/>
        <w:right w:val="none" w:sz="0" w:space="0" w:color="auto"/>
      </w:divBdr>
    </w:div>
    <w:div w:id="322248129">
      <w:bodyDiv w:val="1"/>
      <w:marLeft w:val="0"/>
      <w:marRight w:val="0"/>
      <w:marTop w:val="0"/>
      <w:marBottom w:val="0"/>
      <w:divBdr>
        <w:top w:val="none" w:sz="0" w:space="0" w:color="auto"/>
        <w:left w:val="none" w:sz="0" w:space="0" w:color="auto"/>
        <w:bottom w:val="none" w:sz="0" w:space="0" w:color="auto"/>
        <w:right w:val="none" w:sz="0" w:space="0" w:color="auto"/>
      </w:divBdr>
    </w:div>
    <w:div w:id="323557943">
      <w:bodyDiv w:val="1"/>
      <w:marLeft w:val="0"/>
      <w:marRight w:val="0"/>
      <w:marTop w:val="0"/>
      <w:marBottom w:val="0"/>
      <w:divBdr>
        <w:top w:val="none" w:sz="0" w:space="0" w:color="auto"/>
        <w:left w:val="none" w:sz="0" w:space="0" w:color="auto"/>
        <w:bottom w:val="none" w:sz="0" w:space="0" w:color="auto"/>
        <w:right w:val="none" w:sz="0" w:space="0" w:color="auto"/>
      </w:divBdr>
    </w:div>
    <w:div w:id="461659932">
      <w:bodyDiv w:val="1"/>
      <w:marLeft w:val="0"/>
      <w:marRight w:val="0"/>
      <w:marTop w:val="0"/>
      <w:marBottom w:val="0"/>
      <w:divBdr>
        <w:top w:val="none" w:sz="0" w:space="0" w:color="auto"/>
        <w:left w:val="none" w:sz="0" w:space="0" w:color="auto"/>
        <w:bottom w:val="none" w:sz="0" w:space="0" w:color="auto"/>
        <w:right w:val="none" w:sz="0" w:space="0" w:color="auto"/>
      </w:divBdr>
      <w:divsChild>
        <w:div w:id="1967082715">
          <w:marLeft w:val="0"/>
          <w:marRight w:val="0"/>
          <w:marTop w:val="0"/>
          <w:marBottom w:val="0"/>
          <w:divBdr>
            <w:top w:val="none" w:sz="0" w:space="0" w:color="auto"/>
            <w:left w:val="none" w:sz="0" w:space="0" w:color="auto"/>
            <w:bottom w:val="none" w:sz="0" w:space="0" w:color="auto"/>
            <w:right w:val="none" w:sz="0" w:space="0" w:color="auto"/>
          </w:divBdr>
          <w:divsChild>
            <w:div w:id="1510488865">
              <w:marLeft w:val="0"/>
              <w:marRight w:val="0"/>
              <w:marTop w:val="0"/>
              <w:marBottom w:val="0"/>
              <w:divBdr>
                <w:top w:val="none" w:sz="0" w:space="0" w:color="auto"/>
                <w:left w:val="none" w:sz="0" w:space="0" w:color="auto"/>
                <w:bottom w:val="none" w:sz="0" w:space="0" w:color="auto"/>
                <w:right w:val="none" w:sz="0" w:space="0" w:color="auto"/>
              </w:divBdr>
              <w:divsChild>
                <w:div w:id="1200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151026">
      <w:bodyDiv w:val="1"/>
      <w:marLeft w:val="0"/>
      <w:marRight w:val="0"/>
      <w:marTop w:val="0"/>
      <w:marBottom w:val="0"/>
      <w:divBdr>
        <w:top w:val="none" w:sz="0" w:space="0" w:color="auto"/>
        <w:left w:val="none" w:sz="0" w:space="0" w:color="auto"/>
        <w:bottom w:val="none" w:sz="0" w:space="0" w:color="auto"/>
        <w:right w:val="none" w:sz="0" w:space="0" w:color="auto"/>
      </w:divBdr>
      <w:divsChild>
        <w:div w:id="1966424403">
          <w:marLeft w:val="0"/>
          <w:marRight w:val="0"/>
          <w:marTop w:val="540"/>
          <w:marBottom w:val="0"/>
          <w:divBdr>
            <w:top w:val="none" w:sz="0" w:space="0" w:color="auto"/>
            <w:left w:val="none" w:sz="0" w:space="0" w:color="auto"/>
            <w:bottom w:val="none" w:sz="0" w:space="0" w:color="auto"/>
            <w:right w:val="none" w:sz="0" w:space="0" w:color="auto"/>
          </w:divBdr>
        </w:div>
      </w:divsChild>
    </w:div>
    <w:div w:id="704526645">
      <w:bodyDiv w:val="1"/>
      <w:marLeft w:val="30"/>
      <w:marRight w:val="30"/>
      <w:marTop w:val="0"/>
      <w:marBottom w:val="0"/>
      <w:divBdr>
        <w:top w:val="none" w:sz="0" w:space="0" w:color="auto"/>
        <w:left w:val="none" w:sz="0" w:space="0" w:color="auto"/>
        <w:bottom w:val="none" w:sz="0" w:space="0" w:color="auto"/>
        <w:right w:val="none" w:sz="0" w:space="0" w:color="auto"/>
      </w:divBdr>
      <w:divsChild>
        <w:div w:id="1204094444">
          <w:marLeft w:val="0"/>
          <w:marRight w:val="0"/>
          <w:marTop w:val="0"/>
          <w:marBottom w:val="0"/>
          <w:divBdr>
            <w:top w:val="none" w:sz="0" w:space="0" w:color="auto"/>
            <w:left w:val="none" w:sz="0" w:space="0" w:color="auto"/>
            <w:bottom w:val="none" w:sz="0" w:space="0" w:color="auto"/>
            <w:right w:val="none" w:sz="0" w:space="0" w:color="auto"/>
          </w:divBdr>
          <w:divsChild>
            <w:div w:id="361783748">
              <w:marLeft w:val="0"/>
              <w:marRight w:val="0"/>
              <w:marTop w:val="0"/>
              <w:marBottom w:val="0"/>
              <w:divBdr>
                <w:top w:val="none" w:sz="0" w:space="0" w:color="auto"/>
                <w:left w:val="none" w:sz="0" w:space="0" w:color="auto"/>
                <w:bottom w:val="none" w:sz="0" w:space="0" w:color="auto"/>
                <w:right w:val="none" w:sz="0" w:space="0" w:color="auto"/>
              </w:divBdr>
              <w:divsChild>
                <w:div w:id="1491674989">
                  <w:marLeft w:val="180"/>
                  <w:marRight w:val="0"/>
                  <w:marTop w:val="0"/>
                  <w:marBottom w:val="0"/>
                  <w:divBdr>
                    <w:top w:val="none" w:sz="0" w:space="0" w:color="auto"/>
                    <w:left w:val="none" w:sz="0" w:space="0" w:color="auto"/>
                    <w:bottom w:val="none" w:sz="0" w:space="0" w:color="auto"/>
                    <w:right w:val="none" w:sz="0" w:space="0" w:color="auto"/>
                  </w:divBdr>
                  <w:divsChild>
                    <w:div w:id="496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440381">
      <w:bodyDiv w:val="1"/>
      <w:marLeft w:val="30"/>
      <w:marRight w:val="30"/>
      <w:marTop w:val="0"/>
      <w:marBottom w:val="0"/>
      <w:divBdr>
        <w:top w:val="none" w:sz="0" w:space="0" w:color="auto"/>
        <w:left w:val="none" w:sz="0" w:space="0" w:color="auto"/>
        <w:bottom w:val="none" w:sz="0" w:space="0" w:color="auto"/>
        <w:right w:val="none" w:sz="0" w:space="0" w:color="auto"/>
      </w:divBdr>
      <w:divsChild>
        <w:div w:id="1339387056">
          <w:marLeft w:val="0"/>
          <w:marRight w:val="0"/>
          <w:marTop w:val="0"/>
          <w:marBottom w:val="0"/>
          <w:divBdr>
            <w:top w:val="none" w:sz="0" w:space="0" w:color="auto"/>
            <w:left w:val="none" w:sz="0" w:space="0" w:color="auto"/>
            <w:bottom w:val="none" w:sz="0" w:space="0" w:color="auto"/>
            <w:right w:val="none" w:sz="0" w:space="0" w:color="auto"/>
          </w:divBdr>
          <w:divsChild>
            <w:div w:id="482505001">
              <w:marLeft w:val="0"/>
              <w:marRight w:val="0"/>
              <w:marTop w:val="0"/>
              <w:marBottom w:val="0"/>
              <w:divBdr>
                <w:top w:val="none" w:sz="0" w:space="0" w:color="auto"/>
                <w:left w:val="none" w:sz="0" w:space="0" w:color="auto"/>
                <w:bottom w:val="none" w:sz="0" w:space="0" w:color="auto"/>
                <w:right w:val="none" w:sz="0" w:space="0" w:color="auto"/>
              </w:divBdr>
              <w:divsChild>
                <w:div w:id="1235896206">
                  <w:marLeft w:val="180"/>
                  <w:marRight w:val="0"/>
                  <w:marTop w:val="0"/>
                  <w:marBottom w:val="0"/>
                  <w:divBdr>
                    <w:top w:val="none" w:sz="0" w:space="0" w:color="auto"/>
                    <w:left w:val="none" w:sz="0" w:space="0" w:color="auto"/>
                    <w:bottom w:val="none" w:sz="0" w:space="0" w:color="auto"/>
                    <w:right w:val="none" w:sz="0" w:space="0" w:color="auto"/>
                  </w:divBdr>
                  <w:divsChild>
                    <w:div w:id="189203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005323">
      <w:bodyDiv w:val="1"/>
      <w:marLeft w:val="0"/>
      <w:marRight w:val="0"/>
      <w:marTop w:val="0"/>
      <w:marBottom w:val="0"/>
      <w:divBdr>
        <w:top w:val="none" w:sz="0" w:space="0" w:color="auto"/>
        <w:left w:val="none" w:sz="0" w:space="0" w:color="auto"/>
        <w:bottom w:val="none" w:sz="0" w:space="0" w:color="auto"/>
        <w:right w:val="none" w:sz="0" w:space="0" w:color="auto"/>
      </w:divBdr>
    </w:div>
    <w:div w:id="1205752658">
      <w:bodyDiv w:val="1"/>
      <w:marLeft w:val="0"/>
      <w:marRight w:val="0"/>
      <w:marTop w:val="0"/>
      <w:marBottom w:val="0"/>
      <w:divBdr>
        <w:top w:val="none" w:sz="0" w:space="0" w:color="auto"/>
        <w:left w:val="none" w:sz="0" w:space="0" w:color="auto"/>
        <w:bottom w:val="none" w:sz="0" w:space="0" w:color="auto"/>
        <w:right w:val="none" w:sz="0" w:space="0" w:color="auto"/>
      </w:divBdr>
    </w:div>
    <w:div w:id="1229851611">
      <w:bodyDiv w:val="1"/>
      <w:marLeft w:val="0"/>
      <w:marRight w:val="0"/>
      <w:marTop w:val="0"/>
      <w:marBottom w:val="0"/>
      <w:divBdr>
        <w:top w:val="none" w:sz="0" w:space="0" w:color="auto"/>
        <w:left w:val="none" w:sz="0" w:space="0" w:color="auto"/>
        <w:bottom w:val="none" w:sz="0" w:space="0" w:color="auto"/>
        <w:right w:val="none" w:sz="0" w:space="0" w:color="auto"/>
      </w:divBdr>
      <w:divsChild>
        <w:div w:id="1242787302">
          <w:marLeft w:val="274"/>
          <w:marRight w:val="0"/>
          <w:marTop w:val="0"/>
          <w:marBottom w:val="0"/>
          <w:divBdr>
            <w:top w:val="none" w:sz="0" w:space="0" w:color="auto"/>
            <w:left w:val="none" w:sz="0" w:space="0" w:color="auto"/>
            <w:bottom w:val="none" w:sz="0" w:space="0" w:color="auto"/>
            <w:right w:val="none" w:sz="0" w:space="0" w:color="auto"/>
          </w:divBdr>
        </w:div>
        <w:div w:id="1487090927">
          <w:marLeft w:val="274"/>
          <w:marRight w:val="0"/>
          <w:marTop w:val="0"/>
          <w:marBottom w:val="0"/>
          <w:divBdr>
            <w:top w:val="none" w:sz="0" w:space="0" w:color="auto"/>
            <w:left w:val="none" w:sz="0" w:space="0" w:color="auto"/>
            <w:bottom w:val="none" w:sz="0" w:space="0" w:color="auto"/>
            <w:right w:val="none" w:sz="0" w:space="0" w:color="auto"/>
          </w:divBdr>
        </w:div>
      </w:divsChild>
    </w:div>
    <w:div w:id="1551766504">
      <w:bodyDiv w:val="1"/>
      <w:marLeft w:val="0"/>
      <w:marRight w:val="0"/>
      <w:marTop w:val="0"/>
      <w:marBottom w:val="0"/>
      <w:divBdr>
        <w:top w:val="none" w:sz="0" w:space="0" w:color="auto"/>
        <w:left w:val="none" w:sz="0" w:space="0" w:color="auto"/>
        <w:bottom w:val="none" w:sz="0" w:space="0" w:color="auto"/>
        <w:right w:val="none" w:sz="0" w:space="0" w:color="auto"/>
      </w:divBdr>
      <w:divsChild>
        <w:div w:id="698358063">
          <w:marLeft w:val="0"/>
          <w:marRight w:val="0"/>
          <w:marTop w:val="0"/>
          <w:marBottom w:val="0"/>
          <w:divBdr>
            <w:top w:val="none" w:sz="0" w:space="0" w:color="auto"/>
            <w:left w:val="none" w:sz="0" w:space="0" w:color="auto"/>
            <w:bottom w:val="none" w:sz="0" w:space="0" w:color="auto"/>
            <w:right w:val="none" w:sz="0" w:space="0" w:color="auto"/>
          </w:divBdr>
        </w:div>
        <w:div w:id="956713040">
          <w:marLeft w:val="0"/>
          <w:marRight w:val="0"/>
          <w:marTop w:val="0"/>
          <w:marBottom w:val="0"/>
          <w:divBdr>
            <w:top w:val="none" w:sz="0" w:space="0" w:color="auto"/>
            <w:left w:val="none" w:sz="0" w:space="0" w:color="auto"/>
            <w:bottom w:val="none" w:sz="0" w:space="0" w:color="auto"/>
            <w:right w:val="none" w:sz="0" w:space="0" w:color="auto"/>
          </w:divBdr>
          <w:divsChild>
            <w:div w:id="2064785819">
              <w:marLeft w:val="0"/>
              <w:marRight w:val="0"/>
              <w:marTop w:val="0"/>
              <w:marBottom w:val="0"/>
              <w:divBdr>
                <w:top w:val="none" w:sz="0" w:space="0" w:color="auto"/>
                <w:left w:val="none" w:sz="0" w:space="0" w:color="auto"/>
                <w:bottom w:val="none" w:sz="0" w:space="0" w:color="auto"/>
                <w:right w:val="none" w:sz="0" w:space="0" w:color="auto"/>
              </w:divBdr>
              <w:divsChild>
                <w:div w:id="1178696045">
                  <w:marLeft w:val="0"/>
                  <w:marRight w:val="0"/>
                  <w:marTop w:val="0"/>
                  <w:marBottom w:val="0"/>
                  <w:divBdr>
                    <w:top w:val="none" w:sz="0" w:space="0" w:color="auto"/>
                    <w:left w:val="none" w:sz="0" w:space="0" w:color="auto"/>
                    <w:bottom w:val="none" w:sz="0" w:space="0" w:color="auto"/>
                    <w:right w:val="none" w:sz="0" w:space="0" w:color="auto"/>
                  </w:divBdr>
                  <w:divsChild>
                    <w:div w:id="15665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362025">
          <w:marLeft w:val="0"/>
          <w:marRight w:val="0"/>
          <w:marTop w:val="0"/>
          <w:marBottom w:val="0"/>
          <w:divBdr>
            <w:top w:val="none" w:sz="0" w:space="0" w:color="auto"/>
            <w:left w:val="none" w:sz="0" w:space="0" w:color="auto"/>
            <w:bottom w:val="none" w:sz="0" w:space="0" w:color="auto"/>
            <w:right w:val="none" w:sz="0" w:space="0" w:color="auto"/>
          </w:divBdr>
          <w:divsChild>
            <w:div w:id="747920383">
              <w:marLeft w:val="0"/>
              <w:marRight w:val="0"/>
              <w:marTop w:val="0"/>
              <w:marBottom w:val="0"/>
              <w:divBdr>
                <w:top w:val="none" w:sz="0" w:space="0" w:color="auto"/>
                <w:left w:val="none" w:sz="0" w:space="0" w:color="auto"/>
                <w:bottom w:val="none" w:sz="0" w:space="0" w:color="auto"/>
                <w:right w:val="none" w:sz="0" w:space="0" w:color="auto"/>
              </w:divBdr>
              <w:divsChild>
                <w:div w:id="130403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07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ibinqo.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pubmed.ncbi.nlm.nih.gov/33382444/" TargetMode="External"/><Relationship Id="rId2" Type="http://schemas.openxmlformats.org/officeDocument/2006/relationships/customXml" Target="../customXml/item2.xml"/><Relationship Id="rId16" Type="http://schemas.openxmlformats.org/officeDocument/2006/relationships/hyperlink" Target="https://pubmed.ncbi.nlm.nih.gov/3157734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yperlink" Target="https://pubmed.ncbi.nlm.nih.gov/28949012/" TargetMode="External"/><Relationship Id="rId10" Type="http://schemas.openxmlformats.org/officeDocument/2006/relationships/image" Target="media/image1.e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ubmed.ncbi.nlm.nih.gov/29672897/"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3E2FA64B-734F-42B0-84F4-DADBA7A3376C}">
    <t:Anchor>
      <t:Comment id="641077750"/>
    </t:Anchor>
    <t:History>
      <t:Event id="{3FE93CF1-51A5-4301-9288-D9B2A110D42E}" time="2022-05-24T18:58:13.872Z">
        <t:Attribution userId="S::corlir@pfizer.com::bd0ff476-93fd-4b4f-b896-a14df7709ca8" userProvider="AD" userName="Corliss, Romy E."/>
        <t:Anchor>
          <t:Comment id="1596787729"/>
        </t:Anchor>
        <t:Create/>
      </t:Event>
      <t:Event id="{E8847F0C-A71D-4FB1-B2DF-AC7C8DD74AA1}" time="2022-05-24T18:58:13.872Z">
        <t:Attribution userId="S::corlir@pfizer.com::bd0ff476-93fd-4b4f-b896-a14df7709ca8" userProvider="AD" userName="Corliss, Romy E."/>
        <t:Anchor>
          <t:Comment id="1596787729"/>
        </t:Anchor>
        <t:Assign userId="S::VALDEH01@pfizer.com::56775cad-fd65-4757-adbc-7a6ace1bf5e6" userProvider="AD" userName="Valdez, Hernan"/>
      </t:Event>
      <t:Event id="{B27ECF9B-33F4-406E-A4A1-ADE26EA9DACC}" time="2022-05-24T18:58:13.872Z">
        <t:Attribution userId="S::corlir@pfizer.com::bd0ff476-93fd-4b4f-b896-a14df7709ca8" userProvider="AD" userName="Corliss, Romy E."/>
        <t:Anchor>
          <t:Comment id="1596787729"/>
        </t:Anchor>
        <t:SetTitle title="@Valdez, Hernan - is there anything else we should be saying about this data- if they were &quot;exploratory&quot; or not multiplicity controlled, etc.? Any limitations to this data that should be noted? I know it's not in the label but don't recall why n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7E64FEBC81AE4692C9074E7BDF9B24" ma:contentTypeVersion="10" ma:contentTypeDescription="Create a new document." ma:contentTypeScope="" ma:versionID="c27553097f91c95c0025c0bbc823a4e0">
  <xsd:schema xmlns:xsd="http://www.w3.org/2001/XMLSchema" xmlns:xs="http://www.w3.org/2001/XMLSchema" xmlns:p="http://schemas.microsoft.com/office/2006/metadata/properties" xmlns:ns2="9fc87179-1a07-4eaf-9500-665341dc540e" xmlns:ns3="cfbe1120-e8cc-4444-a166-7016d1146c7a" targetNamespace="http://schemas.microsoft.com/office/2006/metadata/properties" ma:root="true" ma:fieldsID="ee5d614c85b671487aceffdafa88657a" ns2:_="" ns3:_="">
    <xsd:import namespace="9fc87179-1a07-4eaf-9500-665341dc540e"/>
    <xsd:import namespace="cfbe1120-e8cc-4444-a166-7016d1146c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87179-1a07-4eaf-9500-665341dc5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be1120-e8cc-4444-a166-7016d1146c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C50743-701A-46A3-AC4C-899C1C4FD937}">
  <ds:schemaRefs>
    <ds:schemaRef ds:uri="http://purl.org/dc/dcmitype/"/>
    <ds:schemaRef ds:uri="http://schemas.microsoft.com/office/2006/documentManagement/types"/>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fbe1120-e8cc-4444-a166-7016d1146c7a"/>
    <ds:schemaRef ds:uri="9fc87179-1a07-4eaf-9500-665341dc540e"/>
    <ds:schemaRef ds:uri="http://www.w3.org/XML/1998/namespace"/>
  </ds:schemaRefs>
</ds:datastoreItem>
</file>

<file path=customXml/itemProps2.xml><?xml version="1.0" encoding="utf-8"?>
<ds:datastoreItem xmlns:ds="http://schemas.openxmlformats.org/officeDocument/2006/customXml" ds:itemID="{45D1C42F-92C2-4659-96D5-1952992B9CFF}">
  <ds:schemaRefs>
    <ds:schemaRef ds:uri="http://schemas.microsoft.com/sharepoint/v3/contenttype/forms"/>
  </ds:schemaRefs>
</ds:datastoreItem>
</file>

<file path=customXml/itemProps3.xml><?xml version="1.0" encoding="utf-8"?>
<ds:datastoreItem xmlns:ds="http://schemas.openxmlformats.org/officeDocument/2006/customXml" ds:itemID="{6C91A577-EEB3-4713-BE03-EDB828040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87179-1a07-4eaf-9500-665341dc540e"/>
    <ds:schemaRef ds:uri="cfbe1120-e8cc-4444-a166-7016d1146c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4414</Words>
  <Characters>25164</Characters>
  <Application>Microsoft Office Word</Application>
  <DocSecurity>4</DocSecurity>
  <Lines>209</Lines>
  <Paragraphs>59</Paragraphs>
  <ScaleCrop>false</ScaleCrop>
  <Company>Pfizer Inc</Company>
  <LinksUpToDate>false</LinksUpToDate>
  <CharactersWithSpaces>29519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Keenan, Maryrose</dc:creator>
  <cp:keywords/>
  <cp:lastModifiedBy>Noe, Mark C</cp:lastModifiedBy>
  <cp:revision>2</cp:revision>
  <cp:lastPrinted>2017-06-07T21:41:00Z</cp:lastPrinted>
  <dcterms:created xsi:type="dcterms:W3CDTF">2022-05-26T14:26:00Z</dcterms:created>
  <dcterms:modified xsi:type="dcterms:W3CDTF">2022-05-26T14:26:00Z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2017-05-14T00:00:00Z</vt:filetime>
  </property>
  <property fmtid="{D5CDD505-2E9C-101B-9397-08002B2CF9AE}" pid="3" name="LastSaved">
    <vt:filetime>2017-05-14T00:00:00Z</vt:filetime>
  </property>
  <property fmtid="{D5CDD505-2E9C-101B-9397-08002B2CF9AE}" pid="4" name="ChronicleID">
    <vt:lpwstr/>
  </property>
  <property fmtid="{D5CDD505-2E9C-101B-9397-08002B2CF9AE}" pid="5" name="RepoID">
    <vt:lpwstr/>
  </property>
  <property fmtid="{D5CDD505-2E9C-101B-9397-08002B2CF9AE}" pid="6" name="ContentTypeId">
    <vt:lpwstr>0x010100987E64FEBC81AE4692C9074E7BDF9B24</vt:lpwstr>
  </property>
</Properties>
</file>